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57CC1" w:rsidRPr="0066662D" w:rsidRDefault="00457CC1" w:rsidP="00457CC1">
      <w:pPr>
        <w:suppressAutoHyphens/>
        <w:overflowPunct w:val="0"/>
        <w:autoSpaceDE w:val="0"/>
        <w:jc w:val="center"/>
        <w:rPr>
          <w:b/>
          <w:sz w:val="28"/>
          <w:szCs w:val="20"/>
          <w:lang w:eastAsia="ar-SA"/>
        </w:rPr>
      </w:pPr>
      <w:bookmarkStart w:id="0" w:name="_Toc428731699"/>
      <w:bookmarkStart w:id="1" w:name="_Toc451885976"/>
      <w:bookmarkStart w:id="2" w:name="_Toc490854325"/>
      <w:r w:rsidRPr="0066662D">
        <w:rPr>
          <w:b/>
          <w:sz w:val="28"/>
          <w:szCs w:val="20"/>
          <w:lang w:eastAsia="ar-SA"/>
        </w:rPr>
        <w:t>D - 07.01.01 OZNAKOWANIE POZIOME</w:t>
      </w:r>
      <w:bookmarkEnd w:id="0"/>
      <w:bookmarkEnd w:id="1"/>
      <w:bookmarkEnd w:id="2"/>
    </w:p>
    <w:p w:rsidR="00457CC1" w:rsidRPr="0041254F" w:rsidRDefault="00457CC1" w:rsidP="00457CC1">
      <w:pPr>
        <w:keepNext/>
        <w:numPr>
          <w:ilvl w:val="0"/>
          <w:numId w:val="3"/>
        </w:numPr>
        <w:suppressAutoHyphens/>
        <w:overflowPunct w:val="0"/>
        <w:autoSpaceDE w:val="0"/>
        <w:spacing w:after="240"/>
        <w:jc w:val="both"/>
        <w:outlineLvl w:val="0"/>
        <w:rPr>
          <w:b/>
          <w:sz w:val="22"/>
          <w:szCs w:val="22"/>
          <w:lang w:eastAsia="ar-SA"/>
        </w:rPr>
      </w:pPr>
      <w:r w:rsidRPr="0041254F">
        <w:rPr>
          <w:b/>
          <w:sz w:val="22"/>
          <w:szCs w:val="22"/>
          <w:lang w:eastAsia="ar-SA"/>
        </w:rPr>
        <w:t>Wstęp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Przedmiot SST </w:t>
      </w:r>
    </w:p>
    <w:p w:rsidR="00457CC1" w:rsidRPr="0041254F" w:rsidRDefault="00457CC1" w:rsidP="00457CC1">
      <w:pPr>
        <w:tabs>
          <w:tab w:val="center" w:pos="4536"/>
          <w:tab w:val="left" w:pos="6804"/>
          <w:tab w:val="right" w:pos="9072"/>
        </w:tabs>
        <w:suppressAutoHyphens/>
        <w:overflowPunct w:val="0"/>
        <w:autoSpaceDE w:val="0"/>
        <w:jc w:val="both"/>
        <w:rPr>
          <w:rFonts w:eastAsia="MS Sans Serif"/>
          <w:b/>
          <w:sz w:val="22"/>
          <w:szCs w:val="22"/>
          <w:lang w:eastAsia="en-US"/>
        </w:rPr>
      </w:pPr>
      <w:r w:rsidRPr="0041254F">
        <w:rPr>
          <w:sz w:val="22"/>
          <w:szCs w:val="22"/>
          <w:lang w:eastAsia="en-US"/>
        </w:rPr>
        <w:t>Przedmiotem niniejszej szczegółowej specyfikacji technicznej (SST) są wymagania dotyczące wykonania i odbioru oznakowania p</w:t>
      </w:r>
      <w:r w:rsidR="009D55F9">
        <w:rPr>
          <w:sz w:val="22"/>
          <w:szCs w:val="22"/>
          <w:lang w:eastAsia="en-US"/>
        </w:rPr>
        <w:t>oziomego drogi w ramach zadania</w:t>
      </w:r>
      <w:r w:rsidR="001D258B">
        <w:rPr>
          <w:sz w:val="22"/>
          <w:szCs w:val="22"/>
          <w:lang w:eastAsia="en-US"/>
        </w:rPr>
        <w:t xml:space="preserve"> </w:t>
      </w:r>
      <w:r w:rsidR="00743154" w:rsidRPr="00743154">
        <w:rPr>
          <w:sz w:val="22"/>
          <w:szCs w:val="22"/>
          <w:lang w:eastAsia="en-US"/>
        </w:rPr>
        <w:t xml:space="preserve">Modernizacja DW 209 na odc. </w:t>
      </w:r>
      <w:proofErr w:type="spellStart"/>
      <w:r w:rsidR="00743154" w:rsidRPr="00743154">
        <w:rPr>
          <w:sz w:val="22"/>
          <w:szCs w:val="22"/>
          <w:lang w:eastAsia="en-US"/>
        </w:rPr>
        <w:t>Kamieńc</w:t>
      </w:r>
      <w:proofErr w:type="spellEnd"/>
      <w:r w:rsidR="00743154" w:rsidRPr="00743154">
        <w:rPr>
          <w:sz w:val="22"/>
          <w:szCs w:val="22"/>
          <w:lang w:eastAsia="en-US"/>
        </w:rPr>
        <w:t xml:space="preserve"> - Jutrzenka, km 46+000 – 48+000, dł. 2,0 km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b/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Zakres stosowania SST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Specyfikacja techniczna (ST) </w:t>
      </w:r>
      <w:r w:rsidRPr="0041254F">
        <w:rPr>
          <w:b/>
          <w:sz w:val="22"/>
          <w:szCs w:val="22"/>
          <w:lang w:eastAsia="ar-SA"/>
        </w:rPr>
        <w:t>stanowi dokument w postępowaniu przetargowym i przy realizacji kontraktu na wykonanie robót związanych z realizacją zadania wymienionego w punkcie 1.1.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Zakres robót objętych SST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Ustalenia zawarte w niniejszej specyfikacji dotyczą zasad prowadzenia robót związanych z wykonywaniem i odbiorem oznakowania poziomego stosowanego na drogach o nawierzchni twardej.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Określenia podstawowe </w:t>
      </w: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Oznakowanie poziome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Znaki drogowe poziome, umieszczone na nawierzchni w postaci linii ciągłych lub przerywanych, pojedynczych lub podwójnych, strzałek, napisów, symboli oraz innych linii związanych z oznaczeniem określonych miejsc na tej nawierzchni. W zależności od rodzaju i sposobu zastosowania znaki poziome mogą mieć znaczenie prowadzące, segregujące, informujące, ostrzegawcze, zakazujące lub nakazujące.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Znaki podłużne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Linie równoległe do osi jezdni lub odchylone od niej pod niewielkim kątem, występujące jako linie: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pojedyncze: przerywane lub ciągłe, segregacyjne lub krawędziowe,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podwójne: ciągłe z przerywanymi, ciągłe lub przerywane.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Strzałki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Znaki poziome na nawierzchni, występujące jako strzałki kierunkowe służące do wskazania dozwolonego kierunku zjazdu z pasa oraz strzałki naprowadzające, które uprzedzają o konieczności opuszczenia pasa, na którym się znajdują.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Znaki poprzeczne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Znaki służące do oznaczenia miejsc przeznaczonych do ruchu pieszych i rowerzystów w poprzek drogi, miejsc wymagających zatrzymania pojazdów oraz miejsc lokalizacji progów zwalniających.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Znaki uzupełniające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Znaki o różnych kształtach, wymiarach i przeznaczeniu, występujące w postaci symboli, napisów, linii przystankowych, stanowisk i pasów postojowych, powierzchni wyłączonych z ruchu oraz symboli znaków pionowych w oznakowaniu poziomym.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lastRenderedPageBreak/>
        <w:t>Materiały do poziomego znakowania dróg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Materiały zawierające rozpuszczalniki, wolne od rozpuszczalników lub punktowe elementy odblaskowe, które mogą zostać naniesione albo wbudowane przez malowanie, natryskiwanie, odlewanie, wytłaczanie, rolowanie, klejenie itp. na nawierzchnie drogowe, stosowane w temperaturze otoczenia lub w temperaturze podwyższonej. Materiały te powinny posiadać właściwości odblaskowe.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Materiały do znakowania cienkowarstwowego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Farby rozpuszczalnikowe, wodorozcieńczalne i chemoutwardzalne nakładane warstwą grubości od 0,4 mm do 0,89 mm, mierzoną na mokro.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Kulki szklane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</w:t>
      </w:r>
      <w:r w:rsidRPr="0041254F">
        <w:rPr>
          <w:sz w:val="22"/>
          <w:szCs w:val="22"/>
          <w:lang w:eastAsia="ar-SA"/>
        </w:rPr>
        <w:t xml:space="preserve">Materiał w postaci przezroczystych, kulistych cząstek szklanych do posypywania lub narzucania pod ciśnieniem na oznakowanie wykonane materiałami w stanie ciekłym, w celu uzyskania widzialności oznakowania w nocy przez odbicie powrotne padającej wiązki światła pojazdu w kierunku kierowcy. Kulki szklane są także składnikami materiałów grubowarstwowych.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Kruszywo przeciwpoślizgowe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Twarde ziarna pochodzenia naturalnego lub sztucznego stosowane do zapewnienia własności przeciwpoślizgowych poziomemu oznakowaniu dróg, stosowane samo lub w mieszaninie z kulkami szklanymi.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Oznakowanie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</w:t>
      </w:r>
      <w:r w:rsidRPr="0041254F">
        <w:rPr>
          <w:sz w:val="22"/>
          <w:szCs w:val="22"/>
          <w:lang w:eastAsia="ar-SA"/>
        </w:rPr>
        <w:t xml:space="preserve">Oznakowanie, w którym zakończył się czas schnięcia i nie upłynęło 30 dni od wykonania oznakowania. Pomiary właściwości oznakowania należy wykonywać od 14 do 30 dnia po wykonaniu oznakowania.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Tymczasowe oznakowanie drogowe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Oznakowanie z materiału o barwie żółtej, którego czas użytkowania wynosi do 3 miesięcy lub do czasu zakończenia robót.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Kosztorys ślepy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</w:t>
      </w:r>
      <w:r w:rsidRPr="0041254F">
        <w:rPr>
          <w:sz w:val="22"/>
          <w:szCs w:val="22"/>
          <w:lang w:eastAsia="ar-SA"/>
        </w:rPr>
        <w:t xml:space="preserve">Wykaz robót / elementów rozliczeniowych / z podaniem ich ilości.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Kosztorys ofertowy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</w:t>
      </w:r>
      <w:r w:rsidRPr="0041254F">
        <w:rPr>
          <w:sz w:val="22"/>
          <w:szCs w:val="22"/>
          <w:lang w:eastAsia="ar-SA"/>
        </w:rPr>
        <w:t>Wyceniony kosztorys ślepy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Inżynier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</w:t>
      </w:r>
      <w:r w:rsidRPr="0041254F">
        <w:rPr>
          <w:sz w:val="22"/>
          <w:szCs w:val="22"/>
          <w:lang w:eastAsia="ar-SA"/>
        </w:rPr>
        <w:t xml:space="preserve">Osoba wyznaczona przez Zamawiającego , upoważniona do występowania w jego imieniu w sprawach realizacji zadania.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lastRenderedPageBreak/>
        <w:t>Inspektor nadzoru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>Osoba wyznaczona przez Zamawiającego, upowa</w:t>
      </w:r>
      <w:r>
        <w:rPr>
          <w:sz w:val="22"/>
          <w:szCs w:val="22"/>
          <w:lang w:eastAsia="ar-SA"/>
        </w:rPr>
        <w:t>ż</w:t>
      </w:r>
      <w:r w:rsidRPr="0041254F">
        <w:rPr>
          <w:sz w:val="22"/>
          <w:szCs w:val="22"/>
          <w:lang w:eastAsia="ar-SA"/>
        </w:rPr>
        <w:t xml:space="preserve">niona do bezpośredniego kontrolowania prowadzonych robót i odpowiedzialna za jakość i zgodność z dokumentacją robót na nadzorowanym odcinku drogi 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Kierownik budowy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Osoba wyznaczona przez Wykonawcę , upoważniona do kierowania budową i do występowania w jego imieniu w sprawie realizacji kontraktu.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Dziennik budowy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Zeszyt opatrzony pieczęcią Zamawiającego, z ponumerowanymi stronami , służący do notowania wydarzeń zaistniałych w czasie realizacji kontraktu, rejestrowania wykonanych badań ,dokonywanych odbiorów robót, przekazywania poleceń i innej korespondencji technicznej pomiędzy Inżynierem, Inspektorem nadzoru a Wykonawcą. W dzienniku budowy Wykonawca wpisuje także obmiar robót zanikających potwierdzony przez Inspektora nadzoru.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Ogólne wymagania dotyczące robót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Ogólne wymagania </w:t>
      </w:r>
      <w:r w:rsidR="001A064A">
        <w:rPr>
          <w:sz w:val="22"/>
          <w:szCs w:val="22"/>
          <w:lang w:eastAsia="ar-SA"/>
        </w:rPr>
        <w:t>dotyczące robót podano w D</w:t>
      </w:r>
      <w:r w:rsidRPr="0041254F">
        <w:rPr>
          <w:sz w:val="22"/>
          <w:szCs w:val="22"/>
          <w:lang w:eastAsia="ar-SA"/>
        </w:rPr>
        <w:t xml:space="preserve">-00.00.00 „Wymagania ogólne” pkt 1.5. Wykonawca robót jest odpowiedzialny za jakość robót oraz za ich zgodność z dokumentacją projektową, szczegółową specyfikacją techniczną i poleceniami Inżyniera i Inspektora nadzoru.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0"/>
          <w:numId w:val="1"/>
        </w:numPr>
        <w:suppressAutoHyphens/>
        <w:overflowPunct w:val="0"/>
        <w:autoSpaceDE w:val="0"/>
        <w:spacing w:after="240"/>
        <w:jc w:val="both"/>
        <w:outlineLvl w:val="0"/>
        <w:rPr>
          <w:b/>
          <w:sz w:val="22"/>
          <w:szCs w:val="22"/>
          <w:lang w:eastAsia="ar-SA"/>
        </w:rPr>
      </w:pPr>
      <w:r w:rsidRPr="0041254F">
        <w:rPr>
          <w:b/>
          <w:sz w:val="22"/>
          <w:szCs w:val="22"/>
          <w:lang w:eastAsia="ar-SA"/>
        </w:rPr>
        <w:t xml:space="preserve">Materiały 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Ogólne wymagania dotyczące materiałów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>Ogólne wymagania dotyczące materiałów, ich pozyski</w:t>
      </w:r>
      <w:r w:rsidR="001A064A">
        <w:rPr>
          <w:sz w:val="22"/>
          <w:szCs w:val="22"/>
          <w:lang w:eastAsia="ar-SA"/>
        </w:rPr>
        <w:t>wania i składowania podano  D</w:t>
      </w:r>
      <w:r w:rsidRPr="0041254F">
        <w:rPr>
          <w:sz w:val="22"/>
          <w:szCs w:val="22"/>
          <w:lang w:eastAsia="ar-SA"/>
        </w:rPr>
        <w:t xml:space="preserve">-00.00.00 „Wymagania ogólne” pkt 2 [16]. </w:t>
      </w:r>
    </w:p>
    <w:p w:rsidR="00457CC1" w:rsidRPr="00472338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b/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Dokument dopuszczający do stosowania materiałów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Materiały stosowane przez Wykonawcę do poziomego oznakowania dróg powinny spełniać warunki postawione w rozporządzeniu Ministra Infrastruktury [7].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Producenci powinni oznakować wyroby znakiem budowlanym B, zgodnie z rozporządzeniem Ministra Infrastruktury [8], co oznacza wystawienie deklaracji zgodności z aprobatą techniczną (np. dla farb ) lub znakiem CE, zgodnie z rozporządzeniem Ministra Infrastruktury [12], co oznacza wystawienie deklaracji zgodności z normą zharmonizowaną (np. dla kulek szklanych [3, 3a] 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Aprobaty techniczne wystawione przed czasem wejścia w życie rozporządzenia [15] nie mogą być zmieniane lecz zachowują ważność przez okres, na jaki zostały wydane. W tym przypadku do oznakowania wyrobu znakiem budowlanym B wystarcza deklaracja zgodności z aprobatą techniczną.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Powyższe zasady należy stosować także do </w:t>
      </w:r>
      <w:proofErr w:type="spellStart"/>
      <w:r w:rsidRPr="0041254F">
        <w:rPr>
          <w:sz w:val="22"/>
          <w:szCs w:val="22"/>
          <w:lang w:eastAsia="ar-SA"/>
        </w:rPr>
        <w:t>oznakowań</w:t>
      </w:r>
      <w:proofErr w:type="spellEnd"/>
      <w:r w:rsidRPr="0041254F">
        <w:rPr>
          <w:sz w:val="22"/>
          <w:szCs w:val="22"/>
          <w:lang w:eastAsia="ar-SA"/>
        </w:rPr>
        <w:t xml:space="preserve"> tymczasowych wykonywanych materiałami o barwie żółtej.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Badanie materiałów, których jakość budzi wątpliwość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</w:t>
      </w:r>
      <w:r w:rsidRPr="0041254F">
        <w:rPr>
          <w:sz w:val="22"/>
          <w:szCs w:val="22"/>
          <w:lang w:eastAsia="ar-SA"/>
        </w:rPr>
        <w:t xml:space="preserve">Wykonawca powinien przeprowadzić dodatkowe badania tych materiałów, które budzą wątpliwości jego , Inżyniera lub Inspektora nadzoru co do jakości, w celu stwierdzenia czy odpowiadają one </w:t>
      </w:r>
      <w:r w:rsidRPr="0041254F">
        <w:rPr>
          <w:sz w:val="22"/>
          <w:szCs w:val="22"/>
          <w:lang w:eastAsia="ar-SA"/>
        </w:rPr>
        <w:lastRenderedPageBreak/>
        <w:t xml:space="preserve">wymaganiom określonym w aprobacie technicznej. Badania te Wykonawca zleci </w:t>
      </w:r>
      <w:proofErr w:type="spellStart"/>
      <w:r w:rsidRPr="0041254F">
        <w:rPr>
          <w:sz w:val="22"/>
          <w:szCs w:val="22"/>
          <w:lang w:eastAsia="ar-SA"/>
        </w:rPr>
        <w:t>IBDiM</w:t>
      </w:r>
      <w:proofErr w:type="spellEnd"/>
      <w:r w:rsidRPr="0041254F">
        <w:rPr>
          <w:sz w:val="22"/>
          <w:szCs w:val="22"/>
          <w:lang w:eastAsia="ar-SA"/>
        </w:rPr>
        <w:t xml:space="preserve"> lub akredytowanemu laboratorium drogowemu. Badania powinny być wykonane zgodnie z PN-EN 1871:2003 [6] lub Warunkami Technicznymi POD-97 [9] 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Oznakowanie opakowań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</w:t>
      </w:r>
      <w:r w:rsidRPr="0041254F">
        <w:rPr>
          <w:sz w:val="22"/>
          <w:szCs w:val="22"/>
          <w:lang w:eastAsia="ar-SA"/>
        </w:rPr>
        <w:t xml:space="preserve">Wykonawca powinien żądać od producenta, aby oznakowanie opakowań materiałów do poziomego znakowania dróg było wykonane zgodnie z PN-O-79252 [2], a ponadto aby na każdym opakowaniu był umieszczony trwały napis zawierający: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nazwę i adres producenta,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datę produkcji i termin przydatności do użycia,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masę netto,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numer partii i datę produkcji,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informację, o tym że wyrób posiada aprobatę techniczną </w:t>
      </w:r>
      <w:proofErr w:type="spellStart"/>
      <w:r w:rsidRPr="0041254F">
        <w:rPr>
          <w:sz w:val="22"/>
          <w:szCs w:val="22"/>
          <w:lang w:eastAsia="ar-SA"/>
        </w:rPr>
        <w:t>IBDiM</w:t>
      </w:r>
      <w:proofErr w:type="spellEnd"/>
      <w:r w:rsidRPr="0041254F">
        <w:rPr>
          <w:sz w:val="22"/>
          <w:szCs w:val="22"/>
          <w:lang w:eastAsia="ar-SA"/>
        </w:rPr>
        <w:t xml:space="preserve"> i jej numer,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nazwę jednostki certyfikującej i numer certyfikatu, jeśli dotyczy [8], znak budowlany „B” wg rozporządzenia Ministra Infrastruktury [8] i/lub znak „CE” wg rozporządzenia Ministra Infrastruktury [12],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informację o szkodliwości i klasie zagrożenia pożarowego,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ewentualne wskazówki dla użytkowników.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W przypadku farb rozpuszczalnikowych oznakowanie opakowania powinno być zgodne z rozporządzeniem Ministra Zdrowia [13].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Wykonawca zobowiązany jest do przedstawienia na życzenie Inżyniera, Inspektora nadzoru dokumentów potwierdzających jakość używanych materiałów i ich zgodność z gwarantowanymi w kontrakcie 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faktury potwierdzające zakup poszczególnych partii materiałów,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atesty potwierdzające gwarantowaną przez producenta jakość poszczególnych partii materiałów,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ewentualne wyniki badań kontrolnych zgodnie z SST pkt 2.3,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deklaracja zgodności z ważną aprobatą techniczną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Przepisy określające wymagania dla materiałów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Podstawowe wymagania dotyczące materiałów podano w punkcie 2.6, a szczegółowe wymagania określone są w Warunkach Technicznych POD-97 [9] 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Do danego rodzaju materiału podstawowego – farby należy zastosować zalecany prze producenta rodzaj i ilość materiału pomocniczego np. rozpuszczalnik , kulki szklane . Nie dopuszczalne jest stosowanie zamienników.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Wymagania wobec materiałów do poziomego oznakowania dróg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Czas schnięcia materiału na nawierzchni drogi 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 dzień nie dłużej niż 1h,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 nocy nie dłużej niż 2h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</w:t>
      </w: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Materiały do </w:t>
      </w:r>
      <w:proofErr w:type="spellStart"/>
      <w:r w:rsidRPr="0041254F">
        <w:rPr>
          <w:sz w:val="22"/>
          <w:szCs w:val="22"/>
          <w:lang w:eastAsia="ar-SA"/>
        </w:rPr>
        <w:t>oznakowań</w:t>
      </w:r>
      <w:proofErr w:type="spellEnd"/>
      <w:r w:rsidRPr="0041254F">
        <w:rPr>
          <w:sz w:val="22"/>
          <w:szCs w:val="22"/>
          <w:lang w:eastAsia="ar-SA"/>
        </w:rPr>
        <w:t xml:space="preserve"> cienkowarstwowych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Materiałami do wykonywania oznakowania cienkowarstwowego powinny być farby nakładane warstwą grubości od 0,4 mm do 0,89mm (na mokro). Powinny to być ciekłe produkty zawierające ciała stałe zdyspergowane w roztworze żywicy syntetycznej w rozpuszczalniku organicznym lub w wodzie, które mogą występować w układach jedno- lub wieloskładnikowych.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 xml:space="preserve">    </w:t>
      </w:r>
      <w:r w:rsidRPr="0041254F">
        <w:rPr>
          <w:sz w:val="22"/>
          <w:szCs w:val="22"/>
          <w:lang w:eastAsia="ar-SA"/>
        </w:rPr>
        <w:t xml:space="preserve">Podczas nakładania farb, do znakowania cienkowarstwowego, na nawierzchnię pędzlem, wałkiem lub przez natrysk, powinny one tworzyć warstwę kohezyjną w procesie odparowania i/lub w procesie chemicznym. Właściwości fizyczne poszczególnych materiałów do poziomego oznakowania cienkowarstwowego określają aprobaty techniczne.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Zawartość składników lotnych w materiałach do znakowania cienkowarstwowego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Zawartość składników lotnych (rozpuszczalników organicznych) nie powinna przekraczać 25% (m/m) w postaci gotowej do aplikacji, w materiałach do znakowania cienkowarstwowego. Nie dopuszcza się stosowania materiałów zawierających rozpuszczalnik aromatyczny (jak np. toluen, ksylen, etylobenzen) w ilości większej niż 8 % (m/m). Nie dopuszcza się stosowania materiałów zawierających benzen i rozpuszczalniki chlorowane.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Kulki szklane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</w:t>
      </w:r>
      <w:r w:rsidRPr="0041254F">
        <w:rPr>
          <w:sz w:val="22"/>
          <w:szCs w:val="22"/>
          <w:lang w:eastAsia="ar-SA"/>
        </w:rPr>
        <w:t xml:space="preserve">Materiały w postaci kulek szklanych refleksyjnych do posypywania lub narzucania pod ciśnieniem na materiały do oznakowania powinny zapewniać widzialność w nocy poprzez odbicie powrotne w kierunku pojazdu wiązki światła wysyłanej przez reflektory pojazdu.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Kulki szklane powinny charakteryzować się współczynnikiem załamania powyżej 1,50, wykazywać odporność na wodę, kwas solny, chlorek wapniowy i siarczek sodowy oraz zawierać nie więcej niż 20% kulek z defektami w przypadku kulek o maksymalnej średnicy poniżej 1 mm oraz 30 % w przypadku kulek o maksymalnej średnicy równej i większej niż 1mm. Krzywa uziarnienia powinna mieścić się w krzywych granicznych podanych w wymaganiach aprobaty technicznej wyrobu lub w certyfikacie CE. Kulki szklane </w:t>
      </w:r>
      <w:proofErr w:type="spellStart"/>
      <w:r w:rsidRPr="0041254F">
        <w:rPr>
          <w:sz w:val="22"/>
          <w:szCs w:val="22"/>
          <w:lang w:eastAsia="ar-SA"/>
        </w:rPr>
        <w:t>hydrofobizowane</w:t>
      </w:r>
      <w:proofErr w:type="spellEnd"/>
      <w:r w:rsidRPr="0041254F">
        <w:rPr>
          <w:sz w:val="22"/>
          <w:szCs w:val="22"/>
          <w:lang w:eastAsia="ar-SA"/>
        </w:rPr>
        <w:t xml:space="preserve"> powinny ponadto wykazywać stopień </w:t>
      </w:r>
      <w:proofErr w:type="spellStart"/>
      <w:r w:rsidRPr="0041254F">
        <w:rPr>
          <w:sz w:val="22"/>
          <w:szCs w:val="22"/>
          <w:lang w:eastAsia="ar-SA"/>
        </w:rPr>
        <w:t>hydrofobizacji</w:t>
      </w:r>
      <w:proofErr w:type="spellEnd"/>
      <w:r w:rsidRPr="0041254F">
        <w:rPr>
          <w:sz w:val="22"/>
          <w:szCs w:val="22"/>
          <w:lang w:eastAsia="ar-SA"/>
        </w:rPr>
        <w:t xml:space="preserve"> co najmniej 80%.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Wymagania i metody badań kulek szklanych podano w PN-EN 1423:2000[3, 3a]. Właściwości kulek szklanych określają odpowiednie aprobaty techniczne, lub certyfikaty „CE”.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Materiał </w:t>
      </w:r>
      <w:proofErr w:type="spellStart"/>
      <w:r w:rsidRPr="0041254F">
        <w:rPr>
          <w:sz w:val="22"/>
          <w:szCs w:val="22"/>
          <w:lang w:eastAsia="ar-SA"/>
        </w:rPr>
        <w:t>uszorstniający</w:t>
      </w:r>
      <w:proofErr w:type="spellEnd"/>
      <w:r w:rsidRPr="0041254F">
        <w:rPr>
          <w:sz w:val="22"/>
          <w:szCs w:val="22"/>
          <w:lang w:eastAsia="ar-SA"/>
        </w:rPr>
        <w:t xml:space="preserve"> oznakowanie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Materiał </w:t>
      </w:r>
      <w:proofErr w:type="spellStart"/>
      <w:r w:rsidRPr="0041254F">
        <w:rPr>
          <w:sz w:val="22"/>
          <w:szCs w:val="22"/>
          <w:lang w:eastAsia="ar-SA"/>
        </w:rPr>
        <w:t>uszorstniający</w:t>
      </w:r>
      <w:proofErr w:type="spellEnd"/>
      <w:r w:rsidRPr="0041254F">
        <w:rPr>
          <w:sz w:val="22"/>
          <w:szCs w:val="22"/>
          <w:lang w:eastAsia="ar-SA"/>
        </w:rPr>
        <w:t xml:space="preserve"> oznakowanie powinien składać się z naturalnego lub sztucznego twardego kruszywa (np. krystobalitu), stosowanego w celu zapewnienia oznakowaniu odpowiedniej szorstkości (właściwości antypoślizgowych). Materiał </w:t>
      </w:r>
      <w:proofErr w:type="spellStart"/>
      <w:r w:rsidRPr="0041254F">
        <w:rPr>
          <w:sz w:val="22"/>
          <w:szCs w:val="22"/>
          <w:lang w:eastAsia="ar-SA"/>
        </w:rPr>
        <w:t>uszorstniający</w:t>
      </w:r>
      <w:proofErr w:type="spellEnd"/>
      <w:r w:rsidRPr="0041254F">
        <w:rPr>
          <w:sz w:val="22"/>
          <w:szCs w:val="22"/>
          <w:lang w:eastAsia="ar-SA"/>
        </w:rPr>
        <w:t xml:space="preserve"> nie może zawierać więcej niż 1% cząstek mniejszych niż 90 µ m. Konieczność jego użycia zachodzi w przypadku potrzeby uzyskania wskaźnika szorstkości oznakowania SRT ≥ 50.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Materiał </w:t>
      </w:r>
      <w:proofErr w:type="spellStart"/>
      <w:r w:rsidRPr="0041254F">
        <w:rPr>
          <w:sz w:val="22"/>
          <w:szCs w:val="22"/>
          <w:lang w:eastAsia="ar-SA"/>
        </w:rPr>
        <w:t>uszorstniający</w:t>
      </w:r>
      <w:proofErr w:type="spellEnd"/>
      <w:r w:rsidRPr="0041254F">
        <w:rPr>
          <w:sz w:val="22"/>
          <w:szCs w:val="22"/>
          <w:lang w:eastAsia="ar-SA"/>
        </w:rPr>
        <w:t xml:space="preserve"> (kruszywo przeciwpoślizgowe) oraz mieszanina kulek szklanych z materiałem </w:t>
      </w:r>
      <w:proofErr w:type="spellStart"/>
      <w:r w:rsidRPr="0041254F">
        <w:rPr>
          <w:sz w:val="22"/>
          <w:szCs w:val="22"/>
          <w:lang w:eastAsia="ar-SA"/>
        </w:rPr>
        <w:t>uszorstniającym</w:t>
      </w:r>
      <w:proofErr w:type="spellEnd"/>
      <w:r w:rsidRPr="0041254F">
        <w:rPr>
          <w:sz w:val="22"/>
          <w:szCs w:val="22"/>
          <w:lang w:eastAsia="ar-SA"/>
        </w:rPr>
        <w:t xml:space="preserve"> powinny odpowiadać wymaganiom określonym w aprobacie technicznej.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Wymagania wobec materiałów ze względu na ochronę warunków pracy i środowiska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>Materiały stosowane do znakowania nawierzchni nie powinny zawierać substancji zagrażających zdrowiu ludzi i powodujących skażenie środowiska.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Przechowywanie i składowanie materiałów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Materiały do oznakowania cienkowarstwowego nawierzchni powinny zachować stałość swoich właściwości chemicznych i fizykochemicznych podczas składowania w warunkach określonych przez producenta.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 xml:space="preserve">    </w:t>
      </w:r>
      <w:r w:rsidRPr="0041254F">
        <w:rPr>
          <w:sz w:val="22"/>
          <w:szCs w:val="22"/>
          <w:lang w:eastAsia="ar-SA"/>
        </w:rPr>
        <w:t xml:space="preserve">Materiały do poziomego oznakowania dróg należy przechowywać w magazynach odpowiadających zaleceniom producenta, zwłaszcza zabezpieczających je od napromieniowania słonecznego, opadów i w temperaturze, dla: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farb wodorozcieńczalnych od 5</w:t>
      </w:r>
      <w:r w:rsidR="00081A23">
        <w:rPr>
          <w:sz w:val="22"/>
          <w:szCs w:val="22"/>
          <w:lang w:eastAsia="ar-SA"/>
        </w:rPr>
        <w:t>°</w:t>
      </w:r>
      <w:r w:rsidRPr="0041254F">
        <w:rPr>
          <w:sz w:val="22"/>
          <w:szCs w:val="22"/>
          <w:lang w:eastAsia="ar-SA"/>
        </w:rPr>
        <w:t>C do 40</w:t>
      </w:r>
      <w:r w:rsidR="00081A23">
        <w:rPr>
          <w:sz w:val="22"/>
          <w:szCs w:val="22"/>
          <w:lang w:eastAsia="ar-SA"/>
        </w:rPr>
        <w:t>°</w:t>
      </w:r>
      <w:r w:rsidRPr="0041254F">
        <w:rPr>
          <w:sz w:val="22"/>
          <w:szCs w:val="22"/>
          <w:lang w:eastAsia="ar-SA"/>
        </w:rPr>
        <w:t xml:space="preserve">C,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farb rozpuszczalnikowych od -5</w:t>
      </w:r>
      <w:r w:rsidR="00081A23">
        <w:rPr>
          <w:sz w:val="22"/>
          <w:szCs w:val="22"/>
          <w:lang w:eastAsia="ar-SA"/>
        </w:rPr>
        <w:t>°</w:t>
      </w:r>
      <w:r w:rsidRPr="0041254F">
        <w:rPr>
          <w:sz w:val="22"/>
          <w:szCs w:val="22"/>
          <w:lang w:eastAsia="ar-SA"/>
        </w:rPr>
        <w:t>C do 25</w:t>
      </w:r>
      <w:r w:rsidR="00081A23">
        <w:rPr>
          <w:sz w:val="22"/>
          <w:szCs w:val="22"/>
          <w:lang w:eastAsia="ar-SA"/>
        </w:rPr>
        <w:t>°</w:t>
      </w:r>
      <w:r w:rsidRPr="0041254F">
        <w:rPr>
          <w:sz w:val="22"/>
          <w:szCs w:val="22"/>
          <w:lang w:eastAsia="ar-SA"/>
        </w:rPr>
        <w:t xml:space="preserve">C,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pozostałych materiałów - poniżej 40</w:t>
      </w:r>
      <w:r w:rsidR="00081A23">
        <w:rPr>
          <w:sz w:val="22"/>
          <w:szCs w:val="22"/>
          <w:lang w:eastAsia="ar-SA"/>
        </w:rPr>
        <w:t>°</w:t>
      </w:r>
      <w:r w:rsidRPr="0041254F">
        <w:rPr>
          <w:sz w:val="22"/>
          <w:szCs w:val="22"/>
          <w:lang w:eastAsia="ar-SA"/>
        </w:rPr>
        <w:t xml:space="preserve">C.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Materiały nie mogą być przechowywane dłużej niż 6 miesięcy od daty ich wyprodukowania.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0"/>
          <w:numId w:val="1"/>
        </w:numPr>
        <w:suppressAutoHyphens/>
        <w:overflowPunct w:val="0"/>
        <w:autoSpaceDE w:val="0"/>
        <w:spacing w:after="240"/>
        <w:jc w:val="both"/>
        <w:outlineLvl w:val="0"/>
        <w:rPr>
          <w:b/>
          <w:sz w:val="22"/>
          <w:szCs w:val="22"/>
          <w:lang w:eastAsia="ar-SA"/>
        </w:rPr>
      </w:pPr>
      <w:r w:rsidRPr="0041254F">
        <w:rPr>
          <w:b/>
          <w:sz w:val="22"/>
          <w:szCs w:val="22"/>
          <w:lang w:eastAsia="ar-SA"/>
        </w:rPr>
        <w:t xml:space="preserve">Sprzęt 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Ogólne wymagania dotyczące sprzętu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>Ogólne wymagania dotyczące sprzętu podano</w:t>
      </w:r>
      <w:r w:rsidR="001A064A">
        <w:rPr>
          <w:sz w:val="22"/>
          <w:szCs w:val="22"/>
          <w:lang w:eastAsia="ar-SA"/>
        </w:rPr>
        <w:t xml:space="preserve"> w D</w:t>
      </w:r>
      <w:r w:rsidRPr="0041254F">
        <w:rPr>
          <w:sz w:val="22"/>
          <w:szCs w:val="22"/>
          <w:lang w:eastAsia="ar-SA"/>
        </w:rPr>
        <w:t xml:space="preserve">-00.00.00 „Wymagania ogólne” pkt 3 [16].Sprzęt powinien być dostosowany do rodzaju używanego materiału , warunków wykonania i rodzaju oznakowania. </w:t>
      </w:r>
    </w:p>
    <w:p w:rsidR="00457CC1" w:rsidRPr="00472338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b/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Sprzęt do wykonania oznakowania poziomego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</w:t>
      </w:r>
      <w:r w:rsidRPr="0041254F">
        <w:rPr>
          <w:sz w:val="22"/>
          <w:szCs w:val="22"/>
          <w:lang w:eastAsia="ar-SA"/>
        </w:rPr>
        <w:t xml:space="preserve">Wykonawca przystępujący do wykonania oznakowania poziomego, w zależności od zakresu robót, powinien wykazać się możliwością korzystania z odpowiedniego sprzętu, zaakceptowanego przez Inżyniera 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Do przygotowania podłoża do wykonania znakowania należy stosować szczotki mechaniczne / zaleca się stosowanie szczotek wyposażonych w urządzenia odpylające / oraz szczotki ręczne.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Do usuwania istniejącego oznakowania poziomego wykonanego materiałem cienko lub grubowarstwowym stosować specjalistyczne frezarki. Dopuszcza się także usuwanie oznakowania metodą :wodną pod wysokim ciśnieniem / </w:t>
      </w:r>
      <w:proofErr w:type="spellStart"/>
      <w:r w:rsidRPr="0041254F">
        <w:rPr>
          <w:sz w:val="22"/>
          <w:szCs w:val="22"/>
          <w:lang w:eastAsia="ar-SA"/>
        </w:rPr>
        <w:t>waterblasting</w:t>
      </w:r>
      <w:proofErr w:type="spellEnd"/>
      <w:r w:rsidRPr="0041254F">
        <w:rPr>
          <w:sz w:val="22"/>
          <w:szCs w:val="22"/>
          <w:lang w:eastAsia="ar-SA"/>
        </w:rPr>
        <w:t xml:space="preserve"> /, piaskowania , śrutowania, trawienia , wypalania lub zamalowania / nietrwałą farbą, tylko w przypadku usuwania starego oznakowania na czas robót drogowych /.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Metodę usuwania starego oznakowania musi zaakceptować Inżynier 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Do wykonania oznakowania cienkowarstwowego należy stosować </w:t>
      </w:r>
      <w:proofErr w:type="spellStart"/>
      <w:r w:rsidRPr="0041254F">
        <w:rPr>
          <w:sz w:val="22"/>
          <w:szCs w:val="22"/>
          <w:lang w:eastAsia="ar-SA"/>
        </w:rPr>
        <w:t>malowarki</w:t>
      </w:r>
      <w:proofErr w:type="spellEnd"/>
      <w:r w:rsidRPr="0041254F">
        <w:rPr>
          <w:sz w:val="22"/>
          <w:szCs w:val="22"/>
          <w:lang w:eastAsia="ar-SA"/>
        </w:rPr>
        <w:t xml:space="preserve"> z automatycznym podziałem linii i posypywaniem kulkami odblaskowymi. Zastosowana </w:t>
      </w:r>
      <w:proofErr w:type="spellStart"/>
      <w:r w:rsidRPr="0041254F">
        <w:rPr>
          <w:sz w:val="22"/>
          <w:szCs w:val="22"/>
          <w:lang w:eastAsia="ar-SA"/>
        </w:rPr>
        <w:t>malowarka</w:t>
      </w:r>
      <w:proofErr w:type="spellEnd"/>
      <w:r w:rsidRPr="0041254F">
        <w:rPr>
          <w:sz w:val="22"/>
          <w:szCs w:val="22"/>
          <w:lang w:eastAsia="ar-SA"/>
        </w:rPr>
        <w:t xml:space="preserve"> musi zapewnić pełną jednorodność nanoszonego materiału / równomierne rozłożenie farby i kulek szklanych na całej znakowanej powierzchni /, dozowanie wymaganej ilości materiałów, zachowanie wymiarów i ostrość krawędzi oznakowania.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Wszystkie większe prace – znakowanie ciągów dróg – powinny być wykonane przy użyciu </w:t>
      </w:r>
      <w:proofErr w:type="spellStart"/>
      <w:r w:rsidRPr="0041254F">
        <w:rPr>
          <w:sz w:val="22"/>
          <w:szCs w:val="22"/>
          <w:lang w:eastAsia="ar-SA"/>
        </w:rPr>
        <w:t>malowarek</w:t>
      </w:r>
      <w:proofErr w:type="spellEnd"/>
      <w:r w:rsidRPr="0041254F">
        <w:rPr>
          <w:sz w:val="22"/>
          <w:szCs w:val="22"/>
          <w:lang w:eastAsia="ar-SA"/>
        </w:rPr>
        <w:t xml:space="preserve"> samojezdnych.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Wskazane jest posiadanie przez Wykonawcę przyrządu do badania widzialności w dzień i w nocy oraz sprzętu geodezyjnego do wykonania </w:t>
      </w:r>
      <w:proofErr w:type="spellStart"/>
      <w:r w:rsidRPr="0041254F">
        <w:rPr>
          <w:sz w:val="22"/>
          <w:szCs w:val="22"/>
          <w:lang w:eastAsia="ar-SA"/>
        </w:rPr>
        <w:t>przedznakowania</w:t>
      </w:r>
      <w:proofErr w:type="spellEnd"/>
      <w:r w:rsidRPr="0041254F">
        <w:rPr>
          <w:sz w:val="22"/>
          <w:szCs w:val="22"/>
          <w:lang w:eastAsia="ar-SA"/>
        </w:rPr>
        <w:t xml:space="preserve">. Wykonawca powinien posiadać grzebień pomiarowy do wykonywania pomiaru grubości nanoszonego materiału 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Wykonawca powinien zapewnić odpowiednią jakość, ilość i wydajność </w:t>
      </w:r>
      <w:proofErr w:type="spellStart"/>
      <w:r w:rsidRPr="0041254F">
        <w:rPr>
          <w:sz w:val="22"/>
          <w:szCs w:val="22"/>
          <w:lang w:eastAsia="ar-SA"/>
        </w:rPr>
        <w:t>malowarek</w:t>
      </w:r>
      <w:proofErr w:type="spellEnd"/>
      <w:r w:rsidRPr="0041254F">
        <w:rPr>
          <w:sz w:val="22"/>
          <w:szCs w:val="22"/>
          <w:lang w:eastAsia="ar-SA"/>
        </w:rPr>
        <w:t xml:space="preserve"> lub układarek proporcjonalną do wielkości i czasu wykonania całego zakresu robót.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0"/>
          <w:numId w:val="1"/>
        </w:numPr>
        <w:suppressAutoHyphens/>
        <w:overflowPunct w:val="0"/>
        <w:autoSpaceDE w:val="0"/>
        <w:spacing w:after="240"/>
        <w:jc w:val="both"/>
        <w:outlineLvl w:val="0"/>
        <w:rPr>
          <w:b/>
          <w:sz w:val="22"/>
          <w:szCs w:val="22"/>
          <w:lang w:eastAsia="ar-SA"/>
        </w:rPr>
      </w:pPr>
      <w:r w:rsidRPr="0041254F">
        <w:rPr>
          <w:b/>
          <w:sz w:val="22"/>
          <w:szCs w:val="22"/>
          <w:lang w:eastAsia="ar-SA"/>
        </w:rPr>
        <w:t>Transport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Ogólne wymagania dotyczące transportu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Ogólne wymagania d</w:t>
      </w:r>
      <w:r w:rsidR="001A064A">
        <w:rPr>
          <w:sz w:val="22"/>
          <w:szCs w:val="22"/>
          <w:lang w:eastAsia="ar-SA"/>
        </w:rPr>
        <w:t>otyczące transportu podano w</w:t>
      </w:r>
      <w:r w:rsidRPr="0041254F">
        <w:rPr>
          <w:sz w:val="22"/>
          <w:szCs w:val="22"/>
          <w:lang w:eastAsia="ar-SA"/>
        </w:rPr>
        <w:t xml:space="preserve"> D-00.00.00 „Wymagania ogólne” pkt 4 [16].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lastRenderedPageBreak/>
        <w:t xml:space="preserve">Przewóz materiałów do poziomego znakowania dróg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Materiały do poziomego znakowania dróg należy przewozić w opakowaniach zapewniających szczelność, bezpieczny transport i zachowanie wymaganych właściwości materiałów. Pojemniki powinny być oznakowane zgodnie z normą PN-O-79252 [2]. W przypadku materiałów niebezpiecznych opakowania powinny być oznakowane zgodnie z rozporządzeniem Ministra Zdrowia [13].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Farby rozpuszczalnikowe, rozpuszczalniki palne należy transportować zgodnie z postanowieniami umowy międzynarodowej [14] dla transportu drogowego materiałów palnych, klasy 3, oraz szczegółowymi zaleceniami zawartymi w karcie charakterystyki wyrobu sporządzonej przez producenta. Wyroby, wyżej wymienione, nie posiadające karty charakterystyki nie powinny być dopuszczone do transportu.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Pozostałe materiały do znakowania poziomego należy przewozić krytymi środkami transportowymi, chroniąc opakowania przed uszkodzeniem mechanicznym, zgodnie z PN-C-81400 [1] oraz zgodnie z prawem przewozowym.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0"/>
          <w:numId w:val="1"/>
        </w:numPr>
        <w:suppressAutoHyphens/>
        <w:overflowPunct w:val="0"/>
        <w:autoSpaceDE w:val="0"/>
        <w:spacing w:after="240"/>
        <w:jc w:val="both"/>
        <w:outlineLvl w:val="0"/>
        <w:rPr>
          <w:b/>
          <w:sz w:val="22"/>
          <w:szCs w:val="22"/>
          <w:lang w:eastAsia="ar-SA"/>
        </w:rPr>
      </w:pPr>
      <w:r w:rsidRPr="0041254F">
        <w:rPr>
          <w:b/>
          <w:sz w:val="22"/>
          <w:szCs w:val="22"/>
          <w:lang w:eastAsia="ar-SA"/>
        </w:rPr>
        <w:t xml:space="preserve">Wykonanie robót 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Ogólne zasady wykonania robót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Ogólne zasady </w:t>
      </w:r>
      <w:r w:rsidR="001A064A">
        <w:rPr>
          <w:sz w:val="22"/>
          <w:szCs w:val="22"/>
          <w:lang w:eastAsia="ar-SA"/>
        </w:rPr>
        <w:t>wykonania robót podano w D</w:t>
      </w:r>
      <w:r w:rsidRPr="0041254F">
        <w:rPr>
          <w:sz w:val="22"/>
          <w:szCs w:val="22"/>
          <w:lang w:eastAsia="ar-SA"/>
        </w:rPr>
        <w:t xml:space="preserve">-00.00.00 „Wymagania ogólne” pkt 5 [16].Nawierzchnie dróg muszą być oznakowane zgodnie z dokumentacją projektową i zatwierdzonym projektem organizacji ruchu.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Warunki atmosferyczne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W czasie wykonywania oznakowania powinny zostać spełnione warunki zewnętrzne: temperatura nawierzchni i powietrza powinna wynosić co najmniej 5</w:t>
      </w:r>
      <w:r w:rsidRPr="0041254F">
        <w:rPr>
          <w:sz w:val="22"/>
          <w:szCs w:val="22"/>
          <w:vertAlign w:val="superscript"/>
          <w:lang w:eastAsia="ar-SA"/>
        </w:rPr>
        <w:t>o</w:t>
      </w:r>
      <w:r w:rsidRPr="0041254F">
        <w:rPr>
          <w:sz w:val="22"/>
          <w:szCs w:val="22"/>
          <w:lang w:eastAsia="ar-SA"/>
        </w:rPr>
        <w:t>C, maksymalna temperatura powietrza nie więcej niż 25</w:t>
      </w:r>
      <w:r w:rsidRPr="0041254F">
        <w:rPr>
          <w:sz w:val="22"/>
          <w:szCs w:val="22"/>
          <w:vertAlign w:val="superscript"/>
          <w:lang w:eastAsia="ar-SA"/>
        </w:rPr>
        <w:t>o</w:t>
      </w:r>
      <w:r w:rsidRPr="0041254F">
        <w:rPr>
          <w:sz w:val="22"/>
          <w:szCs w:val="22"/>
          <w:lang w:eastAsia="ar-SA"/>
        </w:rPr>
        <w:t xml:space="preserve">C, wilgotność względna powietrza powinna być zgodna z zaleceniami producenta lub wynosić co najwyżej 85%, pogoda powinna być bezwietrzna , bez opadów atmosferycznych.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Należy zwrócić szczególną uwagę przy wykonywaniu znakowania wcześnie rano, późnym wieczorem i w nocy , gdyż wtedy wilgotność powietrza gwałtownie rośnie osiągając niekiedy wartość 100 % i może wystąpić zjawisko wykroplenia wody na nawierzchni drogi . W tym przypadku nie należy wykonywać oznakowania.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Nie wykonywać oznakowania poziomego także podczas wysokich temperatur zwłaszcza w samo południe gdy nawierzchnia drogi jest bardzo nagrzana – z dużym prawdopodobieństwem oznakowanie wykonywane w takich warunkach nie będzie miało wymaganej odblaskowości w nocy.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Na wiosek Wykonawcy , w szczególnych okolicznościach, Inspektor nadzoru może zezwolić na wykonanie znakowania w niższej lub wyższej temperaturze oraz przy wyższej wilgotności jeśli zezwalają na to warunki określone przez producenta materiału użytego do znakowania.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Jednorodność nawierzchni znakowanej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Poprawność wykonania znakowania wymaga jednorodności nawierzchni znakowanej. . Stan techniczny odcinka drogi przyjmujemy za „ zły ”gdy co najmniej jeden z czterech parametrów Systemu Oceny Stanu Nawierzchni (SOSN):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N ( stan spękań ), R ( równość podłużna ), K ( równość poprzeczna – koleiny ),</w:t>
      </w:r>
      <w:r>
        <w:rPr>
          <w:sz w:val="22"/>
          <w:szCs w:val="22"/>
          <w:lang w:eastAsia="ar-SA"/>
        </w:rPr>
        <w:t xml:space="preserve"> P ( stan powierzchni ) jest w </w:t>
      </w:r>
      <w:r w:rsidRPr="0041254F">
        <w:rPr>
          <w:sz w:val="22"/>
          <w:szCs w:val="22"/>
          <w:lang w:eastAsia="ar-SA"/>
        </w:rPr>
        <w:t xml:space="preserve">klasie D 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lastRenderedPageBreak/>
        <w:t xml:space="preserve">Przygotowanie podłoża do wykonania znakowania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Przed wykonaniem znakowania poziomego należy oczyścić powierzchnię nawierzchni malowanej z pyłu, kurzu, piasku, smarów, olejów i innych zanieczyszczeń 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Szczególną uwagę zwrócić na zanieczyszczenia przy krawędziach nawierzchni dróg zwłaszcza przy malowaniach wiosennych , po okresie zimowym.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Powierzchnia nawierzchni przygotowana do wykonania oznakowania poziomego musi być czysta i sucha.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proofErr w:type="spellStart"/>
      <w:r w:rsidRPr="00472338">
        <w:rPr>
          <w:b/>
          <w:sz w:val="22"/>
          <w:szCs w:val="22"/>
          <w:lang w:eastAsia="ar-SA"/>
        </w:rPr>
        <w:t>Przedznakowanie</w:t>
      </w:r>
      <w:proofErr w:type="spellEnd"/>
      <w:r w:rsidRPr="00472338">
        <w:rPr>
          <w:b/>
          <w:sz w:val="22"/>
          <w:szCs w:val="22"/>
          <w:lang w:eastAsia="ar-SA"/>
        </w:rPr>
        <w:t xml:space="preserve">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 celu dokładnego wykonania poziomego oznakowania drogi, należy wykonać </w:t>
      </w:r>
      <w:proofErr w:type="spellStart"/>
      <w:r w:rsidRPr="0041254F">
        <w:rPr>
          <w:sz w:val="22"/>
          <w:szCs w:val="22"/>
          <w:lang w:eastAsia="ar-SA"/>
        </w:rPr>
        <w:t>przedznakowanie</w:t>
      </w:r>
      <w:proofErr w:type="spellEnd"/>
      <w:r w:rsidRPr="0041254F">
        <w:rPr>
          <w:sz w:val="22"/>
          <w:szCs w:val="22"/>
          <w:lang w:eastAsia="ar-SA"/>
        </w:rPr>
        <w:t xml:space="preserve">, stosując się do ustaleń zawartych w dokumentacji projektowej, w załączniku nr 2 do rozporządzenia Ministra Infrastruktury [7] i wskazaniach Inspektora nadzoru. Wykonanie </w:t>
      </w:r>
      <w:proofErr w:type="spellStart"/>
      <w:r w:rsidRPr="0041254F">
        <w:rPr>
          <w:sz w:val="22"/>
          <w:szCs w:val="22"/>
          <w:lang w:eastAsia="ar-SA"/>
        </w:rPr>
        <w:t>przedznakowania</w:t>
      </w:r>
      <w:proofErr w:type="spellEnd"/>
      <w:r w:rsidRPr="0041254F">
        <w:rPr>
          <w:sz w:val="22"/>
          <w:szCs w:val="22"/>
          <w:lang w:eastAsia="ar-SA"/>
        </w:rPr>
        <w:t xml:space="preserve"> umożliwia wyeliminowanie odchyleń i niedokładności geometrycznych w istniejącym i nowym oznakowaniu poziomym.. Wskazane jest wykonanie </w:t>
      </w:r>
      <w:proofErr w:type="spellStart"/>
      <w:r w:rsidRPr="0041254F">
        <w:rPr>
          <w:sz w:val="22"/>
          <w:szCs w:val="22"/>
          <w:lang w:eastAsia="ar-SA"/>
        </w:rPr>
        <w:t>przedznakowania</w:t>
      </w:r>
      <w:proofErr w:type="spellEnd"/>
      <w:r w:rsidRPr="0041254F">
        <w:rPr>
          <w:sz w:val="22"/>
          <w:szCs w:val="22"/>
          <w:lang w:eastAsia="ar-SA"/>
        </w:rPr>
        <w:t xml:space="preserve"> przy użyciu sprzętu geodezyjnego.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Dopuszcza się praktyczną metodę </w:t>
      </w:r>
      <w:proofErr w:type="spellStart"/>
      <w:r w:rsidRPr="0041254F">
        <w:rPr>
          <w:sz w:val="22"/>
          <w:szCs w:val="22"/>
          <w:lang w:eastAsia="ar-SA"/>
        </w:rPr>
        <w:t>przedznakowania</w:t>
      </w:r>
      <w:proofErr w:type="spellEnd"/>
      <w:r w:rsidRPr="0041254F">
        <w:rPr>
          <w:sz w:val="22"/>
          <w:szCs w:val="22"/>
          <w:lang w:eastAsia="ar-SA"/>
        </w:rPr>
        <w:t xml:space="preserve"> na ciągu drogi </w:t>
      </w:r>
      <w:proofErr w:type="spellStart"/>
      <w:r w:rsidRPr="0041254F">
        <w:rPr>
          <w:sz w:val="22"/>
          <w:szCs w:val="22"/>
          <w:lang w:eastAsia="ar-SA"/>
        </w:rPr>
        <w:t>tzw</w:t>
      </w:r>
      <w:proofErr w:type="spellEnd"/>
      <w:r w:rsidRPr="0041254F">
        <w:rPr>
          <w:sz w:val="22"/>
          <w:szCs w:val="22"/>
          <w:lang w:eastAsia="ar-SA"/>
        </w:rPr>
        <w:t xml:space="preserve"> „sznurka i pędzla” wykonywaną przez doświadczony personel Wykonawcy.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Do wykonania </w:t>
      </w:r>
      <w:proofErr w:type="spellStart"/>
      <w:r w:rsidRPr="0041254F">
        <w:rPr>
          <w:sz w:val="22"/>
          <w:szCs w:val="22"/>
          <w:lang w:eastAsia="ar-SA"/>
        </w:rPr>
        <w:t>przedznakowania</w:t>
      </w:r>
      <w:proofErr w:type="spellEnd"/>
      <w:r w:rsidRPr="0041254F">
        <w:rPr>
          <w:sz w:val="22"/>
          <w:szCs w:val="22"/>
          <w:lang w:eastAsia="ar-SA"/>
        </w:rPr>
        <w:t xml:space="preserve"> można stosować nietrwałą farbę, np. farbę silnie rozcieńczoną rozpuszczalnikiem. Zaleca się wykonywanie </w:t>
      </w:r>
      <w:proofErr w:type="spellStart"/>
      <w:r w:rsidRPr="0041254F">
        <w:rPr>
          <w:sz w:val="22"/>
          <w:szCs w:val="22"/>
          <w:lang w:eastAsia="ar-SA"/>
        </w:rPr>
        <w:t>przedznakowania</w:t>
      </w:r>
      <w:proofErr w:type="spellEnd"/>
      <w:r w:rsidRPr="0041254F">
        <w:rPr>
          <w:sz w:val="22"/>
          <w:szCs w:val="22"/>
          <w:lang w:eastAsia="ar-SA"/>
        </w:rPr>
        <w:t xml:space="preserve"> w postaci cienkich linii lub kropek. Początek i koniec danego modułu oznakowania należy zaznaczyć małą kreską poprzeczną.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 przypadku odnawiania oznakowania drogi, gdy stare oznakowanie jest wystarczająco czytelne i zgodne z dokumentacją projektową, można </w:t>
      </w:r>
      <w:proofErr w:type="spellStart"/>
      <w:r w:rsidRPr="0041254F">
        <w:rPr>
          <w:sz w:val="22"/>
          <w:szCs w:val="22"/>
          <w:lang w:eastAsia="ar-SA"/>
        </w:rPr>
        <w:t>przedznakowania</w:t>
      </w:r>
      <w:proofErr w:type="spellEnd"/>
      <w:r w:rsidRPr="0041254F">
        <w:rPr>
          <w:sz w:val="22"/>
          <w:szCs w:val="22"/>
          <w:lang w:eastAsia="ar-SA"/>
        </w:rPr>
        <w:t xml:space="preserve"> nie wykonywać.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Wykonanie oznakowania drogi </w:t>
      </w: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Dostarczenie materiałów i spełnienie zaleceń producenta materiałów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Materiały do znakowania drogi, spełniające wymagania podane w punkcie 2, powinny być dostarczone w oryginalnych opakowaniach handlowych i stosowane zgodnie z zaleceniami producenta oraz wymaganiami znajdującymi się w aprobacie technicznej. </w:t>
      </w:r>
    </w:p>
    <w:p w:rsidR="00457CC1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Muszą posiadać deklaracje zgodności z ważną aprobatą techniczną . </w:t>
      </w:r>
    </w:p>
    <w:p w:rsidR="00E8173C" w:rsidRPr="0041254F" w:rsidRDefault="00E8173C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Wykonanie oznakowania drogi materiałami cienkowarstwowymi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Wykonanie znakowania powinno być zgodne z zaleceniami producenta materiałów, a w przypadku ich braku lub niepełnych danych - zgodne z poniższymi wskazaniami.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Farbę do znakowania cienkowarstwowego po otwarciu opakowania należy wymieszać w czasie od 2 do 4 minut do uzyskania pełnej jednorodności. Przed lub w czasie napełniania zbiornika </w:t>
      </w:r>
      <w:proofErr w:type="spellStart"/>
      <w:r w:rsidRPr="0041254F">
        <w:rPr>
          <w:sz w:val="22"/>
          <w:szCs w:val="22"/>
          <w:lang w:eastAsia="ar-SA"/>
        </w:rPr>
        <w:t>malowarki</w:t>
      </w:r>
      <w:proofErr w:type="spellEnd"/>
      <w:r w:rsidRPr="0041254F">
        <w:rPr>
          <w:sz w:val="22"/>
          <w:szCs w:val="22"/>
          <w:lang w:eastAsia="ar-SA"/>
        </w:rPr>
        <w:t xml:space="preserve"> zaleca się przecedzić farbę przez sito 0,6 mm. Nie wolno stosować do malowania mechanicznego farby, w której osad na dnie opakowania nie daje się całkowicie wymieszać lub na jej powierzchni znajduje się kożuch.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Farbę należy nakładać równomierną warstwą o grubości nie mniejszej niż 0,6 mm, zachowując wymiary i ostrość krawędzi. Grubość nanoszonej  warstwy zaleca się kontrolować przy pomocy grzebienia pomiarowego na płytce z blachy czarnej z nabitym numerem najlepiej o wymiarach 200x50x1,0 mm podkładanej na drodze </w:t>
      </w:r>
      <w:proofErr w:type="spellStart"/>
      <w:r w:rsidRPr="0041254F">
        <w:rPr>
          <w:sz w:val="22"/>
          <w:szCs w:val="22"/>
          <w:lang w:eastAsia="ar-SA"/>
        </w:rPr>
        <w:t>malowarki</w:t>
      </w:r>
      <w:proofErr w:type="spellEnd"/>
      <w:r w:rsidRPr="0041254F">
        <w:rPr>
          <w:sz w:val="22"/>
          <w:szCs w:val="22"/>
          <w:lang w:eastAsia="ar-SA"/>
        </w:rPr>
        <w:t xml:space="preserve">. Ilość farby zużyta w czasie prac, określona przez średnie zużycie na metr kwadratowy nie może się różnić od ilości ustalonej, więcej niż o 20%.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Wszystkie większe prace powinny być wykonane przy użyciu samojezdnych </w:t>
      </w:r>
      <w:proofErr w:type="spellStart"/>
      <w:r w:rsidRPr="0041254F">
        <w:rPr>
          <w:sz w:val="22"/>
          <w:szCs w:val="22"/>
          <w:lang w:eastAsia="ar-SA"/>
        </w:rPr>
        <w:t>malowarek</w:t>
      </w:r>
      <w:proofErr w:type="spellEnd"/>
      <w:r w:rsidRPr="0041254F">
        <w:rPr>
          <w:sz w:val="22"/>
          <w:szCs w:val="22"/>
          <w:lang w:eastAsia="ar-SA"/>
        </w:rPr>
        <w:t xml:space="preserve"> z automatycznym podziałem linii i posypywaniem kulkami szklanymi z ew. materiałem </w:t>
      </w:r>
      <w:proofErr w:type="spellStart"/>
      <w:r w:rsidRPr="0041254F">
        <w:rPr>
          <w:sz w:val="22"/>
          <w:szCs w:val="22"/>
          <w:lang w:eastAsia="ar-SA"/>
        </w:rPr>
        <w:t>uszorstniającym</w:t>
      </w:r>
      <w:proofErr w:type="spellEnd"/>
      <w:r w:rsidRPr="0041254F">
        <w:rPr>
          <w:sz w:val="22"/>
          <w:szCs w:val="22"/>
          <w:lang w:eastAsia="ar-SA"/>
        </w:rPr>
        <w:t xml:space="preserve">. </w:t>
      </w:r>
      <w:r w:rsidRPr="0041254F">
        <w:rPr>
          <w:sz w:val="22"/>
          <w:szCs w:val="22"/>
          <w:lang w:eastAsia="ar-SA"/>
        </w:rPr>
        <w:lastRenderedPageBreak/>
        <w:t xml:space="preserve">W przypadku mniejszych prac, wielkość, wydajność i jakość sprzętu należy dostosować do zakresu i rozmiaru prac.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Decyzję dotyczącą rodzaju sprzętu i sposobu wykonania znakowania podejmuje Inżynier ..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Usuwanie oznakowania poziomego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 przypadku konieczności usunięcia istniejącego oznakowania poziomego, czynność tę należy wykonać jak najmniej uszkadzając nawierzchnię.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Zaleca się wykonywać usuwanie oznakowania: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cienkowarstwowego, metodą: frezowania mechanicznego lub wodą pod wysokim ciśnieniem (</w:t>
      </w:r>
      <w:proofErr w:type="spellStart"/>
      <w:r w:rsidRPr="0041254F">
        <w:rPr>
          <w:sz w:val="22"/>
          <w:szCs w:val="22"/>
          <w:lang w:eastAsia="ar-SA"/>
        </w:rPr>
        <w:t>waterblasting</w:t>
      </w:r>
      <w:proofErr w:type="spellEnd"/>
      <w:r w:rsidRPr="0041254F">
        <w:rPr>
          <w:sz w:val="22"/>
          <w:szCs w:val="22"/>
          <w:lang w:eastAsia="ar-SA"/>
        </w:rPr>
        <w:t xml:space="preserve">), piaskowania, śrutowania, trawienia, wypalania lub zamalowania / nietrwałą farbą, tylko w przypadku usuwania starego oznakowania na czas robót drogowych /.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grubowarstwowego, metodą piaskowania, kulkowania, frezowania,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Środki zastosowane do usunięcia oznakowania nie mogą wpływać ujemnie na przyczepność nowego oznakowania do podłoża, na jego szorstkość, trwałość oraz na właściwości podłoża.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Materiały pozostałe po usunięciu oznakowania należy usunąć z drogi tak, aby nie zanieczyszczały środowiska , w miejsce zaakceptowane przez Inspektora nadzoru.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Odnowa oznakowania poziomego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Odnawianie oznakowania poziomego, wykonywanego w przypadku utraty wymagań jednej z właściwości, należy wykonać materiałem o sprawdzonej dobrej przyczepności do starej warstwy.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Jako zasadę można przyjąć, że oznakowanie wykonane farbami akrylowymi, należy odnawiać także farbami akrylowymi, oznakowania grubowarstwowe wykonane masami termoplastycznymi – cienką warstwą masy termoplastycznej lub farbą wodorozcieńczalną, oznakowania wykonane masami chemoutwardzalnymi – farbami chemoutwardzalnymi, natryskiwanymi masami chemoutwardzalnymi (</w:t>
      </w:r>
      <w:proofErr w:type="spellStart"/>
      <w:r w:rsidRPr="0041254F">
        <w:rPr>
          <w:sz w:val="22"/>
          <w:szCs w:val="22"/>
          <w:lang w:eastAsia="ar-SA"/>
        </w:rPr>
        <w:t>sprayplast</w:t>
      </w:r>
      <w:proofErr w:type="spellEnd"/>
      <w:r w:rsidRPr="0041254F">
        <w:rPr>
          <w:sz w:val="22"/>
          <w:szCs w:val="22"/>
          <w:lang w:eastAsia="ar-SA"/>
        </w:rPr>
        <w:t xml:space="preserve">) lub odpowiednimi akrylowymi  farbami rozpuszczalnikowymi. Może zaistnieć  odstępstwo od tej zasady dotyczące odnowienia oznakowania grubowarstwowego termoplastycznego -  zamiast farbą akrylową wodorozcieńczalną, farbą akrylową rozpuszczalnikową, taką decyzję może podjąć Wykonawca. 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Oznakowanie i zabezpieczenie robót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Wykonawca zapewnia oznakowanie i zabezpieczenie odcinka robót wg zatwierdzonego projektu organizacji ruchu.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Organizacja ruchu na odcinku malowania linii segregacyjnych i krawędziowych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Zasady ogólne.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Przy wykonywaniu oznakowania poziomego – sprzęt i pojazdy towarzyszące przy wykonaniu oznakowania powinny być oznakowane zgodnie ze „Szczegółowymi warunkami technicznymi dla znaków i sygnałów drogowych oraz urządzeń bezpieczeństwa ruchu drogowego i warunkami ich umieszczenia na drogach „ / Zał. nr </w:t>
      </w:r>
      <w:proofErr w:type="spellStart"/>
      <w:r w:rsidRPr="0041254F">
        <w:rPr>
          <w:sz w:val="22"/>
          <w:szCs w:val="22"/>
          <w:lang w:eastAsia="ar-SA"/>
        </w:rPr>
        <w:t>nr</w:t>
      </w:r>
      <w:proofErr w:type="spellEnd"/>
      <w:r w:rsidRPr="0041254F">
        <w:rPr>
          <w:sz w:val="22"/>
          <w:szCs w:val="22"/>
          <w:lang w:eastAsia="ar-SA"/>
        </w:rPr>
        <w:t xml:space="preserve"> 1 i 4 do Dz. U. nr 220 poz.2181 / [10]. Zasady szczegółowe. </w:t>
      </w:r>
    </w:p>
    <w:p w:rsidR="00457CC1" w:rsidRPr="0041254F" w:rsidRDefault="00457CC1" w:rsidP="00E8173C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Na drogach o ruchu dwukierunkowym – brygada wykonująca oznakowanie powinna składać się z pojazdu pilotażowego / wyposażonego w oznakowanie informujące o wykonywanych robotach /, </w:t>
      </w:r>
      <w:proofErr w:type="spellStart"/>
      <w:r w:rsidRPr="0041254F">
        <w:rPr>
          <w:sz w:val="22"/>
          <w:szCs w:val="22"/>
          <w:lang w:eastAsia="ar-SA"/>
        </w:rPr>
        <w:t>malowarki</w:t>
      </w:r>
      <w:proofErr w:type="spellEnd"/>
      <w:r w:rsidRPr="0041254F">
        <w:rPr>
          <w:sz w:val="22"/>
          <w:szCs w:val="22"/>
          <w:lang w:eastAsia="ar-SA"/>
        </w:rPr>
        <w:t xml:space="preserve">, pojazdu „ustawiającego i zbierającego pachołki.” Pachołki powinny być ustawiane co 5-10 m i muszą spełniać wymagania co do ich stabilności w warunkach ruchu drogowego oraz kolorystyki i wymiarów.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lastRenderedPageBreak/>
        <w:t xml:space="preserve">Pierwszy i ostatni pojazd w zestawie powinien być oznakowany / pierwszy z przodu, a ostatni z tyłu / tablicami U-26 , wyposażonymi w ostrzegawcze sygnały błyskowe barwy żółtej.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Na drogach o ruchu jednokierunkowym – skład brygady powinien być zmniejszony o samochód pilotażowy. Pojazd ostatni w zestawie powinien być oznakowany jak wyżej.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W przypadku wykonywania robót na drogach o dopuszczalnej prędkości powy</w:t>
      </w:r>
      <w:r w:rsidR="00C87EB4">
        <w:rPr>
          <w:sz w:val="22"/>
          <w:szCs w:val="22"/>
          <w:lang w:eastAsia="ar-SA"/>
        </w:rPr>
        <w:t>ż</w:t>
      </w:r>
      <w:r w:rsidRPr="0041254F">
        <w:rPr>
          <w:sz w:val="22"/>
          <w:szCs w:val="22"/>
          <w:lang w:eastAsia="ar-SA"/>
        </w:rPr>
        <w:t xml:space="preserve">ej 90km/h – za kolumną pojazdów pracujących na drodze powinien poruszać się przy krawędzi drogi w stałej odległości ok. 1000 m pojazd wyposażony w ostrzegawczy sygnał świetlny błyskowy, znak ostrzegawczy A-14 oraz tabliczki T-19 i T-1 z napisem „ 1000 m’’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Zaleca się ponadto umieszczać na drogach na których są prowadzone roboty – dodatkowe oznakowanie w postaci tablic z tłem koloru białego z wymalowanym znakiem A-14 z tabliczką T-19 i napisem „ na długości … km ‘’.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Organizacja ruchu przy malowaniu linii, znaków na skrzyżowaniach i malowaniu przejść dla pieszych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Znaki poziome o charakterze punktowym np. strzałki , przejścia dla pieszych </w:t>
      </w:r>
      <w:proofErr w:type="spellStart"/>
      <w:r w:rsidRPr="0041254F">
        <w:rPr>
          <w:sz w:val="22"/>
          <w:szCs w:val="22"/>
          <w:lang w:eastAsia="ar-SA"/>
        </w:rPr>
        <w:t>itp</w:t>
      </w:r>
      <w:proofErr w:type="spellEnd"/>
      <w:r w:rsidRPr="0041254F">
        <w:rPr>
          <w:sz w:val="22"/>
          <w:szCs w:val="22"/>
          <w:lang w:eastAsia="ar-SA"/>
        </w:rPr>
        <w:t xml:space="preserve"> należy wykonywać tak aby nie powodować częstych zmian toru jazdy pojazdów.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Szczególną uwagę należy zwrócić na wykonywanie robót w rejonie skrzyżowań. </w:t>
      </w:r>
    </w:p>
    <w:p w:rsidR="00457CC1" w:rsidRPr="0041254F" w:rsidRDefault="00457CC1" w:rsidP="00E8173C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 każdym przypadku gdy wyłączona jest część powierzchni jezdni z ruchu – miejsce takie należy wygrodzić poprzecznie zaporami i podłużnie pachołkami oraz oznakować znakami ostrzegawczymi A – 14 z tabliczkami T-19 i w zależności od występującego rodzaju zwężenia – znakami A-12 / a, b, c /.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Do oznakowywania robót na autostradach i drogach ekspresowych na</w:t>
      </w:r>
      <w:r w:rsidR="00E8173C">
        <w:rPr>
          <w:sz w:val="22"/>
          <w:szCs w:val="22"/>
          <w:lang w:eastAsia="ar-SA"/>
        </w:rPr>
        <w:t>leży stosować znaki wielkie tj.</w:t>
      </w:r>
      <w:r w:rsidRPr="0041254F">
        <w:rPr>
          <w:sz w:val="22"/>
          <w:szCs w:val="22"/>
          <w:lang w:eastAsia="ar-SA"/>
        </w:rPr>
        <w:t xml:space="preserve">: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ostrzegawcze o długości boku 1200 mm,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zakazu i nakazu o średnicy 1000 mm.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Na pozostałych drogach krajowych należy stosować znaki duże tj. :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ostrzegawcze o długości boku 1050 mm,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zakazu i nakazu o średnicy 900 mm.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Znaki muszą być wykonane z folii odblaskowej typ 2 i utrzymywane w dobrym i czytelnym stanie przez cały okres prowadzenia robót.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Uzgodnienia projektów organizacji ruchu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Projekt organizacji ruchu – oznakowanie robót przy poziomym znakowaniu dróg , zawierający dwa schematy 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1. organizację ruchu na odcinku malowania linii segregacyjnych i krawędziowych, </w:t>
      </w:r>
    </w:p>
    <w:p w:rsidR="00457CC1" w:rsidRPr="0041254F" w:rsidRDefault="00457CC1" w:rsidP="00E8173C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2. organizację ruchu przy malowaniu linii, znaków na skrzyżowaniach i przy malowaniu przejść dla pieszych, należy przed przystąpieniem do robót zaopiniować w Wydziale Ruchu Drogowego Komendy Wojewódzkiej Policji i zatwierdzić w Urzędzie Marszałkowskim w Gdańsku.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0"/>
          <w:numId w:val="1"/>
        </w:numPr>
        <w:suppressAutoHyphens/>
        <w:overflowPunct w:val="0"/>
        <w:autoSpaceDE w:val="0"/>
        <w:spacing w:after="240"/>
        <w:jc w:val="both"/>
        <w:outlineLvl w:val="0"/>
        <w:rPr>
          <w:b/>
          <w:sz w:val="22"/>
          <w:szCs w:val="22"/>
          <w:lang w:eastAsia="ar-SA"/>
        </w:rPr>
      </w:pPr>
      <w:r w:rsidRPr="0041254F">
        <w:rPr>
          <w:b/>
          <w:sz w:val="22"/>
          <w:szCs w:val="22"/>
          <w:lang w:eastAsia="ar-SA"/>
        </w:rPr>
        <w:t xml:space="preserve">Kontrola jakości robót </w:t>
      </w:r>
    </w:p>
    <w:p w:rsidR="00457CC1" w:rsidRPr="00472338" w:rsidRDefault="00457CC1" w:rsidP="00457CC1">
      <w:pPr>
        <w:pStyle w:val="Akapitzlist"/>
        <w:numPr>
          <w:ilvl w:val="1"/>
          <w:numId w:val="1"/>
        </w:numPr>
        <w:suppressAutoHyphens/>
        <w:overflowPunct w:val="0"/>
        <w:autoSpaceDE w:val="0"/>
        <w:jc w:val="both"/>
        <w:rPr>
          <w:b/>
          <w:sz w:val="22"/>
          <w:szCs w:val="22"/>
          <w:lang w:eastAsia="ar-SA"/>
        </w:rPr>
      </w:pPr>
      <w:r w:rsidRPr="00472338">
        <w:rPr>
          <w:sz w:val="22"/>
          <w:szCs w:val="22"/>
          <w:lang w:eastAsia="ar-SA"/>
        </w:rPr>
        <w:t xml:space="preserve"> </w:t>
      </w:r>
      <w:r w:rsidRPr="00472338">
        <w:rPr>
          <w:b/>
          <w:sz w:val="22"/>
          <w:szCs w:val="22"/>
          <w:lang w:eastAsia="ar-SA"/>
        </w:rPr>
        <w:t xml:space="preserve">Ogólne zasady kontroli jakości robót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 Ogólne zasady kontrol</w:t>
      </w:r>
      <w:r w:rsidR="001A064A">
        <w:rPr>
          <w:sz w:val="22"/>
          <w:szCs w:val="22"/>
          <w:lang w:eastAsia="ar-SA"/>
        </w:rPr>
        <w:t>i jakości robót podano w  D</w:t>
      </w:r>
      <w:r w:rsidRPr="0041254F">
        <w:rPr>
          <w:sz w:val="22"/>
          <w:szCs w:val="22"/>
          <w:lang w:eastAsia="ar-SA"/>
        </w:rPr>
        <w:t xml:space="preserve">-00.00.00 „Wymagania ogólne” pkt 6 [16].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Nadzór inwestorski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Nadzór inwestorski nad robotami poziomego znakowania dróg pełnić będzie tz</w:t>
      </w:r>
      <w:r>
        <w:rPr>
          <w:sz w:val="22"/>
          <w:szCs w:val="22"/>
          <w:lang w:eastAsia="ar-SA"/>
        </w:rPr>
        <w:t xml:space="preserve">w. Zespół Nadzoru w składzie: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Inżynier ( Z-ca Kierownika Rejonu ) pełniący funkcję Kierownika Zespołu Nadzoru, upoważniony do występowania w imieniu Zamawiającego w sprawach realizacji zadania, </w:t>
      </w:r>
    </w:p>
    <w:p w:rsidR="00457CC1" w:rsidRPr="0041254F" w:rsidRDefault="00457CC1" w:rsidP="00457CC1">
      <w:pPr>
        <w:suppressAutoHyphens/>
        <w:overflowPunct w:val="0"/>
        <w:autoSpaceDE w:val="0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lastRenderedPageBreak/>
        <w:t>I</w:t>
      </w:r>
      <w:r>
        <w:rPr>
          <w:sz w:val="22"/>
          <w:szCs w:val="22"/>
          <w:lang w:eastAsia="ar-SA"/>
        </w:rPr>
        <w:t xml:space="preserve">nspektorzy nadzoru upoważnieni do bezpośredniego </w:t>
      </w:r>
      <w:r w:rsidRPr="0041254F">
        <w:rPr>
          <w:sz w:val="22"/>
          <w:szCs w:val="22"/>
          <w:lang w:eastAsia="ar-SA"/>
        </w:rPr>
        <w:t xml:space="preserve">kontrolowania robót i odpowiedzialni za jakość i zgodność robót z dokumentacją na nadzorowanym odcinku drogi.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</w:t>
      </w: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Przekazanie placu budowy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Przed przystąpieniem do robót , w każdym sezonie, Wykonawca powinien  przedstawić Inżynierowi do zatwierdzenia  harmonogram  robót w terminie określonym w umowie oraz przekazać Inżynierowi 30 szt. płytek z blachy czarnej najlepiej o wymiarach 200x50x1,0 mm z nabitym numerem , wykonanych na własny koszt, do późniejszych pomiarów grubości nanoszonej warstwy farby.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Zamawiający, w każdym sezonie, w terminie określonym  w dokumentach danej części,  przekaże sukcesywnie plac budowy – poszczególne odcinki dróg   w danym Rejonie  wraz z dokumentami, uzupełniającymi dokumentację przetargową :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dziennik budowy,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dokumentację projektową – projekt organizacji ruchu, ew. plan liniowy oznakowania.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Badanie przygotowania podłoża i </w:t>
      </w:r>
      <w:proofErr w:type="spellStart"/>
      <w:r w:rsidRPr="00472338">
        <w:rPr>
          <w:b/>
          <w:sz w:val="22"/>
          <w:szCs w:val="22"/>
          <w:lang w:eastAsia="ar-SA"/>
        </w:rPr>
        <w:t>przedznakowania</w:t>
      </w:r>
      <w:proofErr w:type="spellEnd"/>
      <w:r w:rsidRPr="00472338">
        <w:rPr>
          <w:b/>
          <w:sz w:val="22"/>
          <w:szCs w:val="22"/>
          <w:lang w:eastAsia="ar-SA"/>
        </w:rPr>
        <w:t xml:space="preserve">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Powierzchnia jezdni przed wykonaniem znakowania poziomego musi być całkowicie czysta i sucha.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proofErr w:type="spellStart"/>
      <w:r w:rsidRPr="0041254F">
        <w:rPr>
          <w:sz w:val="22"/>
          <w:szCs w:val="22"/>
          <w:lang w:eastAsia="ar-SA"/>
        </w:rPr>
        <w:t>Przedznakowanie</w:t>
      </w:r>
      <w:proofErr w:type="spellEnd"/>
      <w:r w:rsidRPr="0041254F">
        <w:rPr>
          <w:sz w:val="22"/>
          <w:szCs w:val="22"/>
          <w:lang w:eastAsia="ar-SA"/>
        </w:rPr>
        <w:t xml:space="preserve"> powinno być wykonane zgodnie z wymaganiami punktu 5.5.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Badania wykonania oznakowania poziomego </w:t>
      </w: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Wymagania wobec oznakowania poziomego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6.3.1.1. Zasady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Wymagania sprecyzowano przede wszystkim w celu określenia właściwości oznakowania dróg w czasie ich użytkowania. Wymagania określa się kilkoma parametrami reprezentującymi różne aspekty właściwości oznakowania dróg według PN-EN 1436:2000 [4] i PN-EN 1436:2000/A1:2005 [4a].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Badania wstępne, dla których określono pierwsze wymaganie, są wykonywane w celu kontroli przed odbiorem. Powinny być wykonane w terminie od 14 do 30 dnia po wykonaniu. Kolejne badania kontrolne wskazane jest wykonywać po okresie, od 3 do 6 miesięcy po wykonaniu i przed upływem 1 roku, oraz po 2, 3  latach dla materiałów o trwałości dłuższej niż 1 rok. 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6.3.1.2. Widzialność w dzień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Widzialność oznakowania w dzień jest określona współczynnikiem luminancji β i barwą oznakowania wyrażoną współrzędnymi chromatyczności.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Wartość współczynnika β powinna wynosić dla oznakowania nowego w terminie od 14 do 30 dnia po wykonaniu, barwy: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białej, na nawierzchni asfaltowej , co najmniej 0,40, klasa B3,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białej, na nawierzchni betonowej, co najmniej 0,50, klasa B4.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Wartość współczynnika β powinna wynosić po 30-tym dniu od wykonania dla całego okresu użytkowania oznakowania, barwy: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białej, na nawierzchni asfaltowej , co najmniej 0,30, klasa B2,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białej, na nawierzchni betonowej, co najmniej 0,40, klasa B3.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Barwa oznakowania powinna być określona wg PN-EN 1436:2000 [4] przez współrzędne chromatyczności x i y, które dla suchego oznakowania powinny leżeć w obszarze zdefiniowanym przez cztery punkty narożne podane w tablicy 1 i na wykresach (rys. 1, 2 i 3).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suppressAutoHyphens/>
        <w:overflowPunct w:val="0"/>
        <w:autoSpaceDE w:val="0"/>
        <w:jc w:val="center"/>
        <w:rPr>
          <w:bCs/>
          <w:sz w:val="22"/>
          <w:szCs w:val="22"/>
          <w:lang w:eastAsia="ar-SA"/>
        </w:rPr>
      </w:pPr>
      <w:r w:rsidRPr="0041254F">
        <w:rPr>
          <w:bCs/>
          <w:sz w:val="22"/>
          <w:szCs w:val="22"/>
          <w:lang w:eastAsia="ar-SA"/>
        </w:rPr>
        <w:lastRenderedPageBreak/>
        <w:t xml:space="preserve">Tablica 1. Punkty narożne obszarów chromatyczności </w:t>
      </w:r>
      <w:proofErr w:type="spellStart"/>
      <w:r w:rsidRPr="0041254F">
        <w:rPr>
          <w:bCs/>
          <w:sz w:val="22"/>
          <w:szCs w:val="22"/>
          <w:lang w:eastAsia="ar-SA"/>
        </w:rPr>
        <w:t>oznakowań</w:t>
      </w:r>
      <w:proofErr w:type="spellEnd"/>
      <w:r w:rsidRPr="0041254F">
        <w:rPr>
          <w:bCs/>
          <w:sz w:val="22"/>
          <w:szCs w:val="22"/>
          <w:lang w:eastAsia="ar-SA"/>
        </w:rPr>
        <w:t xml:space="preserve"> dróg</w:t>
      </w:r>
    </w:p>
    <w:p w:rsidR="00457CC1" w:rsidRPr="0041254F" w:rsidRDefault="00457CC1" w:rsidP="00457CC1">
      <w:pPr>
        <w:keepNext/>
        <w:suppressAutoHyphens/>
        <w:overflowPunct w:val="0"/>
        <w:autoSpaceDE w:val="0"/>
        <w:jc w:val="center"/>
        <w:rPr>
          <w:bCs/>
          <w:sz w:val="22"/>
          <w:szCs w:val="22"/>
          <w:lang w:eastAsia="ar-SA"/>
        </w:rPr>
      </w:pPr>
      <w:r w:rsidRPr="0041254F">
        <w:rPr>
          <w:noProof/>
          <w:sz w:val="22"/>
          <w:szCs w:val="22"/>
        </w:rPr>
        <w:drawing>
          <wp:inline distT="0" distB="0" distL="0" distR="0" wp14:anchorId="40E9335A" wp14:editId="4D63CD46">
            <wp:extent cx="4838700" cy="831850"/>
            <wp:effectExtent l="19050" t="0" r="0" b="0"/>
            <wp:docPr id="4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CC1" w:rsidRPr="0041254F" w:rsidRDefault="00457CC1" w:rsidP="00457CC1">
      <w:pPr>
        <w:keepNext/>
        <w:suppressAutoHyphens/>
        <w:overflowPunct w:val="0"/>
        <w:autoSpaceDE w:val="0"/>
        <w:jc w:val="center"/>
        <w:rPr>
          <w:bCs/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suppressAutoHyphens/>
        <w:overflowPunct w:val="0"/>
        <w:autoSpaceDE w:val="0"/>
        <w:jc w:val="center"/>
        <w:rPr>
          <w:bCs/>
          <w:sz w:val="22"/>
          <w:szCs w:val="22"/>
          <w:lang w:eastAsia="ar-SA"/>
        </w:rPr>
      </w:pPr>
      <w:r w:rsidRPr="0041254F">
        <w:rPr>
          <w:noProof/>
          <w:sz w:val="22"/>
          <w:szCs w:val="22"/>
        </w:rPr>
        <w:drawing>
          <wp:inline distT="0" distB="0" distL="0" distR="0" wp14:anchorId="08C6DE82" wp14:editId="5052E02A">
            <wp:extent cx="3416300" cy="2679700"/>
            <wp:effectExtent l="19050" t="0" r="0" b="0"/>
            <wp:docPr id="42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0" cy="267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CC1" w:rsidRPr="0041254F" w:rsidRDefault="00457CC1" w:rsidP="00457CC1">
      <w:pPr>
        <w:keepNext/>
        <w:suppressAutoHyphens/>
        <w:overflowPunct w:val="0"/>
        <w:autoSpaceDE w:val="0"/>
        <w:jc w:val="center"/>
        <w:rPr>
          <w:bCs/>
          <w:sz w:val="22"/>
          <w:szCs w:val="22"/>
          <w:lang w:eastAsia="ar-SA"/>
        </w:rPr>
      </w:pPr>
      <w:r w:rsidRPr="0041254F">
        <w:rPr>
          <w:bCs/>
          <w:sz w:val="22"/>
          <w:szCs w:val="22"/>
          <w:lang w:eastAsia="ar-SA"/>
        </w:rPr>
        <w:t xml:space="preserve">Rys. 1. Współrzędne chromatyczności </w:t>
      </w:r>
      <w:proofErr w:type="spellStart"/>
      <w:r w:rsidRPr="0041254F">
        <w:rPr>
          <w:bCs/>
          <w:sz w:val="22"/>
          <w:szCs w:val="22"/>
          <w:lang w:eastAsia="ar-SA"/>
        </w:rPr>
        <w:t>x,y</w:t>
      </w:r>
      <w:proofErr w:type="spellEnd"/>
      <w:r w:rsidRPr="0041254F">
        <w:rPr>
          <w:bCs/>
          <w:sz w:val="22"/>
          <w:szCs w:val="22"/>
          <w:lang w:eastAsia="ar-SA"/>
        </w:rPr>
        <w:t xml:space="preserve"> dla barwy białej oznakowania</w:t>
      </w:r>
    </w:p>
    <w:p w:rsidR="00457CC1" w:rsidRPr="0041254F" w:rsidRDefault="00457CC1" w:rsidP="00457CC1">
      <w:pPr>
        <w:keepNext/>
        <w:suppressAutoHyphens/>
        <w:overflowPunct w:val="0"/>
        <w:autoSpaceDE w:val="0"/>
        <w:jc w:val="center"/>
        <w:rPr>
          <w:bCs/>
          <w:sz w:val="22"/>
          <w:szCs w:val="22"/>
          <w:lang w:eastAsia="ar-SA"/>
        </w:rPr>
      </w:pP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Pomiar współczynnika luminancji β  może być zastąpiony pomiarem współczynnika luminancji w świetle rozproszonym </w:t>
      </w:r>
      <w:proofErr w:type="spellStart"/>
      <w:r w:rsidRPr="0041254F">
        <w:rPr>
          <w:sz w:val="22"/>
          <w:szCs w:val="22"/>
          <w:lang w:eastAsia="ar-SA"/>
        </w:rPr>
        <w:t>Qd</w:t>
      </w:r>
      <w:proofErr w:type="spellEnd"/>
      <w:r w:rsidRPr="0041254F">
        <w:rPr>
          <w:sz w:val="22"/>
          <w:szCs w:val="22"/>
          <w:lang w:eastAsia="ar-SA"/>
        </w:rPr>
        <w:t>, wg PN-EN 1436:2000 [4] lub wg POD-97 [9] 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Do określenia odbicia światła dziennego lub odbicia oświetlenia drogi od oznakowania stosuje się współczynnik luminancji w świetle rozproszonym </w:t>
      </w:r>
      <w:proofErr w:type="spellStart"/>
      <w:r w:rsidRPr="0041254F">
        <w:rPr>
          <w:sz w:val="22"/>
          <w:szCs w:val="22"/>
          <w:lang w:eastAsia="ar-SA"/>
        </w:rPr>
        <w:t>Qd</w:t>
      </w:r>
      <w:proofErr w:type="spellEnd"/>
      <w:r w:rsidRPr="0041254F">
        <w:rPr>
          <w:sz w:val="22"/>
          <w:szCs w:val="22"/>
          <w:lang w:eastAsia="ar-SA"/>
        </w:rPr>
        <w:t xml:space="preserve">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Wartość współczynnika </w:t>
      </w:r>
      <w:proofErr w:type="spellStart"/>
      <w:r w:rsidRPr="0041254F">
        <w:rPr>
          <w:sz w:val="22"/>
          <w:szCs w:val="22"/>
          <w:lang w:eastAsia="ar-SA"/>
        </w:rPr>
        <w:t>Qd</w:t>
      </w:r>
      <w:proofErr w:type="spellEnd"/>
      <w:r w:rsidRPr="0041254F">
        <w:rPr>
          <w:sz w:val="22"/>
          <w:szCs w:val="22"/>
          <w:lang w:eastAsia="ar-SA"/>
        </w:rPr>
        <w:t xml:space="preserve"> dla oznakowania nowego cienko lub grubowarstwowego w ciągu 14 - 30 dni po wykonaniu powinna wynosić dla oznakowania świeżego, barwy: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>białej, co najmniej 130 mcd m</w:t>
      </w:r>
      <w:r w:rsidR="00457CC1" w:rsidRPr="0041254F">
        <w:rPr>
          <w:sz w:val="22"/>
          <w:szCs w:val="22"/>
          <w:vertAlign w:val="superscript"/>
          <w:lang w:eastAsia="ar-SA"/>
        </w:rPr>
        <w:t>-2</w:t>
      </w:r>
      <w:r w:rsidR="00457CC1" w:rsidRPr="0041254F">
        <w:rPr>
          <w:sz w:val="22"/>
          <w:szCs w:val="22"/>
          <w:lang w:eastAsia="ar-SA"/>
        </w:rPr>
        <w:t xml:space="preserve"> lx</w:t>
      </w:r>
      <w:r w:rsidR="00457CC1" w:rsidRPr="0041254F">
        <w:rPr>
          <w:sz w:val="22"/>
          <w:szCs w:val="22"/>
          <w:vertAlign w:val="superscript"/>
          <w:lang w:eastAsia="ar-SA"/>
        </w:rPr>
        <w:t>-1</w:t>
      </w:r>
      <w:r w:rsidR="00457CC1" w:rsidRPr="0041254F">
        <w:rPr>
          <w:sz w:val="22"/>
          <w:szCs w:val="22"/>
          <w:lang w:eastAsia="ar-SA"/>
        </w:rPr>
        <w:t xml:space="preserve"> (nawierzchnie asfaltowe), klasa Q3,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>białej, co najmniej 160 mcd m</w:t>
      </w:r>
      <w:r w:rsidR="00457CC1" w:rsidRPr="0041254F">
        <w:rPr>
          <w:sz w:val="22"/>
          <w:szCs w:val="22"/>
          <w:vertAlign w:val="superscript"/>
          <w:lang w:eastAsia="ar-SA"/>
        </w:rPr>
        <w:t>-2</w:t>
      </w:r>
      <w:r w:rsidR="00457CC1" w:rsidRPr="0041254F">
        <w:rPr>
          <w:sz w:val="22"/>
          <w:szCs w:val="22"/>
          <w:lang w:eastAsia="ar-SA"/>
        </w:rPr>
        <w:t xml:space="preserve"> lx</w:t>
      </w:r>
      <w:r w:rsidR="00457CC1" w:rsidRPr="0041254F">
        <w:rPr>
          <w:sz w:val="22"/>
          <w:szCs w:val="22"/>
          <w:vertAlign w:val="superscript"/>
          <w:lang w:eastAsia="ar-SA"/>
        </w:rPr>
        <w:t>-1</w:t>
      </w:r>
      <w:r w:rsidR="00457CC1" w:rsidRPr="0041254F">
        <w:rPr>
          <w:sz w:val="22"/>
          <w:szCs w:val="22"/>
          <w:lang w:eastAsia="ar-SA"/>
        </w:rPr>
        <w:t xml:space="preserve"> (nawierzchnie betonowe), klasa Q4.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Wartość współczynnika </w:t>
      </w:r>
      <w:proofErr w:type="spellStart"/>
      <w:r w:rsidRPr="0041254F">
        <w:rPr>
          <w:sz w:val="22"/>
          <w:szCs w:val="22"/>
          <w:lang w:eastAsia="ar-SA"/>
        </w:rPr>
        <w:t>Qd</w:t>
      </w:r>
      <w:proofErr w:type="spellEnd"/>
      <w:r w:rsidRPr="0041254F">
        <w:rPr>
          <w:sz w:val="22"/>
          <w:szCs w:val="22"/>
          <w:lang w:eastAsia="ar-SA"/>
        </w:rPr>
        <w:t xml:space="preserve"> powinna wynosić dla oznakowania eksploatowanego cienkowarstwowego po 30-tym dniu od wykonania, w ciągu całego okresu użytkowania, barwy: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>białej, co najmniej 100 mcd m</w:t>
      </w:r>
      <w:r w:rsidR="00457CC1" w:rsidRPr="0041254F">
        <w:rPr>
          <w:sz w:val="22"/>
          <w:szCs w:val="22"/>
          <w:vertAlign w:val="superscript"/>
          <w:lang w:eastAsia="ar-SA"/>
        </w:rPr>
        <w:t>-2</w:t>
      </w:r>
      <w:r w:rsidR="00457CC1" w:rsidRPr="0041254F">
        <w:rPr>
          <w:sz w:val="22"/>
          <w:szCs w:val="22"/>
          <w:lang w:eastAsia="ar-SA"/>
        </w:rPr>
        <w:t xml:space="preserve"> lx</w:t>
      </w:r>
      <w:r w:rsidR="00457CC1" w:rsidRPr="0041254F">
        <w:rPr>
          <w:sz w:val="22"/>
          <w:szCs w:val="22"/>
          <w:vertAlign w:val="superscript"/>
          <w:lang w:eastAsia="ar-SA"/>
        </w:rPr>
        <w:t>-1</w:t>
      </w:r>
      <w:r w:rsidR="00457CC1" w:rsidRPr="0041254F">
        <w:rPr>
          <w:sz w:val="22"/>
          <w:szCs w:val="22"/>
          <w:lang w:eastAsia="ar-SA"/>
        </w:rPr>
        <w:t xml:space="preserve">(nawierzchnie asfaltowe), klasa Q2,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>białej, co najmniej 130 mcd m</w:t>
      </w:r>
      <w:r w:rsidR="00457CC1" w:rsidRPr="0041254F">
        <w:rPr>
          <w:sz w:val="22"/>
          <w:szCs w:val="22"/>
          <w:vertAlign w:val="superscript"/>
          <w:lang w:eastAsia="ar-SA"/>
        </w:rPr>
        <w:t>-2</w:t>
      </w:r>
      <w:r w:rsidR="00457CC1" w:rsidRPr="0041254F">
        <w:rPr>
          <w:sz w:val="22"/>
          <w:szCs w:val="22"/>
          <w:lang w:eastAsia="ar-SA"/>
        </w:rPr>
        <w:t xml:space="preserve"> lx</w:t>
      </w:r>
      <w:r w:rsidR="00457CC1" w:rsidRPr="0041254F">
        <w:rPr>
          <w:sz w:val="22"/>
          <w:szCs w:val="22"/>
          <w:vertAlign w:val="superscript"/>
          <w:lang w:eastAsia="ar-SA"/>
        </w:rPr>
        <w:t>-1</w:t>
      </w:r>
      <w:r w:rsidR="00457CC1" w:rsidRPr="0041254F">
        <w:rPr>
          <w:sz w:val="22"/>
          <w:szCs w:val="22"/>
          <w:lang w:eastAsia="ar-SA"/>
        </w:rPr>
        <w:t>(nawierzchnie betonowe), klasa Q3.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</w:p>
    <w:p w:rsidR="00457CC1" w:rsidRPr="00E8173C" w:rsidRDefault="00457CC1" w:rsidP="00E8173C">
      <w:pPr>
        <w:pStyle w:val="Akapitzlist"/>
        <w:widowControl w:val="0"/>
        <w:numPr>
          <w:ilvl w:val="3"/>
          <w:numId w:val="4"/>
        </w:numPr>
        <w:tabs>
          <w:tab w:val="num" w:pos="1440"/>
        </w:tabs>
        <w:suppressAutoHyphens/>
        <w:overflowPunct w:val="0"/>
        <w:autoSpaceDE w:val="0"/>
        <w:autoSpaceDN w:val="0"/>
        <w:adjustRightInd w:val="0"/>
        <w:spacing w:line="239" w:lineRule="auto"/>
        <w:jc w:val="both"/>
        <w:rPr>
          <w:rFonts w:ascii="Times" w:hAnsi="Times" w:cs="Times"/>
          <w:sz w:val="22"/>
          <w:szCs w:val="22"/>
          <w:lang w:eastAsia="ar-SA"/>
        </w:rPr>
      </w:pPr>
      <w:r w:rsidRPr="00E8173C">
        <w:rPr>
          <w:rFonts w:ascii="Times" w:hAnsi="Times" w:cs="Times"/>
          <w:sz w:val="22"/>
          <w:szCs w:val="22"/>
          <w:lang w:eastAsia="ar-SA"/>
        </w:rPr>
        <w:t>Widzialno</w:t>
      </w:r>
      <w:r w:rsidRPr="00E8173C">
        <w:rPr>
          <w:sz w:val="22"/>
          <w:szCs w:val="22"/>
          <w:lang w:eastAsia="ar-SA"/>
        </w:rPr>
        <w:t>ść</w:t>
      </w:r>
      <w:r w:rsidRPr="00E8173C">
        <w:rPr>
          <w:rFonts w:ascii="Times" w:hAnsi="Times" w:cs="Times"/>
          <w:sz w:val="22"/>
          <w:szCs w:val="22"/>
          <w:lang w:eastAsia="ar-SA"/>
        </w:rPr>
        <w:t xml:space="preserve"> w nocy</w:t>
      </w:r>
    </w:p>
    <w:p w:rsidR="00457CC1" w:rsidRPr="0041254F" w:rsidRDefault="00457CC1" w:rsidP="00457CC1">
      <w:pPr>
        <w:widowControl w:val="0"/>
        <w:suppressAutoHyphens/>
        <w:overflowPunct w:val="0"/>
        <w:autoSpaceDE w:val="0"/>
        <w:autoSpaceDN w:val="0"/>
        <w:adjustRightInd w:val="0"/>
        <w:spacing w:line="93" w:lineRule="exact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Za miarę widzialności w nocy przyjęto powierzchniowy współczynnik odblasku R </w:t>
      </w:r>
      <w:r w:rsidRPr="0041254F">
        <w:rPr>
          <w:sz w:val="22"/>
          <w:szCs w:val="22"/>
          <w:vertAlign w:val="subscript"/>
          <w:lang w:eastAsia="ar-SA"/>
        </w:rPr>
        <w:t>L</w:t>
      </w:r>
      <w:r w:rsidRPr="0041254F">
        <w:rPr>
          <w:sz w:val="22"/>
          <w:szCs w:val="22"/>
          <w:lang w:eastAsia="ar-SA"/>
        </w:rPr>
        <w:t>, określany według PN-EN 1436:2000 [4] z uwzględnieniem podziału na klasy PN-EN 1436:2000/A1:2005 [4a].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Wartość współczynnika R </w:t>
      </w:r>
      <w:r w:rsidRPr="0041254F">
        <w:rPr>
          <w:sz w:val="22"/>
          <w:szCs w:val="22"/>
          <w:vertAlign w:val="subscript"/>
          <w:lang w:eastAsia="ar-SA"/>
        </w:rPr>
        <w:t>L</w:t>
      </w:r>
      <w:r w:rsidRPr="0041254F">
        <w:rPr>
          <w:sz w:val="22"/>
          <w:szCs w:val="22"/>
          <w:lang w:eastAsia="ar-SA"/>
        </w:rPr>
        <w:t xml:space="preserve"> powinna wynosić dla oznakowania nowego cienkowarstwowego (w stanie suchym) w ciągu 14 - 30 dni po wykonaniu, barwy:</w:t>
      </w:r>
    </w:p>
    <w:p w:rsidR="00457CC1" w:rsidRPr="0041254F" w:rsidRDefault="00457CC1" w:rsidP="00457CC1">
      <w:pPr>
        <w:widowControl w:val="0"/>
        <w:suppressAutoHyphens/>
        <w:overflowPunct w:val="0"/>
        <w:autoSpaceDE w:val="0"/>
        <w:autoSpaceDN w:val="0"/>
        <w:adjustRightInd w:val="0"/>
        <w:spacing w:line="6" w:lineRule="exact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rFonts w:ascii="Symbol" w:hAnsi="Symbol" w:cs="Symbol"/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białej, na autostradach, drogach ekspresowych oraz na drogach dwujezdniowych o prędkości </w:t>
      </w:r>
      <w:r w:rsidRPr="0041254F">
        <w:rPr>
          <w:rFonts w:ascii="Symbol" w:hAnsi="Symbol" w:cs="Symbol"/>
          <w:sz w:val="22"/>
          <w:szCs w:val="22"/>
          <w:lang w:eastAsia="ar-SA"/>
        </w:rPr>
        <w:t></w:t>
      </w:r>
      <w:r w:rsidRPr="0041254F">
        <w:rPr>
          <w:sz w:val="22"/>
          <w:szCs w:val="22"/>
          <w:lang w:eastAsia="ar-SA"/>
        </w:rPr>
        <w:t xml:space="preserve"> 100 km/h lub jednojezdniowych czteropasowych o natężeniu ruchu &gt; 10.000 pojazdów rzeczywistych na dobę, co najmniej 250 mcd m</w:t>
      </w:r>
      <w:r w:rsidRPr="0041254F">
        <w:rPr>
          <w:sz w:val="22"/>
          <w:szCs w:val="22"/>
          <w:vertAlign w:val="superscript"/>
          <w:lang w:eastAsia="ar-SA"/>
        </w:rPr>
        <w:t>-2</w:t>
      </w:r>
      <w:r w:rsidRPr="0041254F">
        <w:rPr>
          <w:sz w:val="22"/>
          <w:szCs w:val="22"/>
          <w:lang w:eastAsia="ar-SA"/>
        </w:rPr>
        <w:t xml:space="preserve"> lx</w:t>
      </w:r>
      <w:r w:rsidRPr="0041254F">
        <w:rPr>
          <w:sz w:val="22"/>
          <w:szCs w:val="22"/>
          <w:vertAlign w:val="superscript"/>
          <w:lang w:eastAsia="ar-SA"/>
        </w:rPr>
        <w:t>--1</w:t>
      </w:r>
      <w:r w:rsidRPr="0041254F">
        <w:rPr>
          <w:sz w:val="22"/>
          <w:szCs w:val="22"/>
          <w:lang w:eastAsia="ar-SA"/>
        </w:rPr>
        <w:t>, klasa R4/5,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/>
        <w:contextualSpacing/>
        <w:jc w:val="both"/>
        <w:rPr>
          <w:rFonts w:ascii="Symbol" w:hAnsi="Symbol" w:cs="Symbol"/>
          <w:sz w:val="22"/>
          <w:szCs w:val="22"/>
          <w:lang w:eastAsia="ar-SA"/>
        </w:rPr>
      </w:pP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rFonts w:ascii="Symbol" w:hAnsi="Symbol" w:cs="Symbol"/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białej, na pozostałych drogach, co najmniej 200 mcd m</w:t>
      </w:r>
      <w:r w:rsidRPr="0041254F">
        <w:rPr>
          <w:sz w:val="22"/>
          <w:szCs w:val="22"/>
          <w:vertAlign w:val="superscript"/>
          <w:lang w:eastAsia="ar-SA"/>
        </w:rPr>
        <w:t>-2</w:t>
      </w:r>
      <w:r w:rsidRPr="0041254F">
        <w:rPr>
          <w:sz w:val="22"/>
          <w:szCs w:val="22"/>
          <w:lang w:eastAsia="ar-SA"/>
        </w:rPr>
        <w:t xml:space="preserve"> lx</w:t>
      </w:r>
      <w:r w:rsidRPr="0041254F">
        <w:rPr>
          <w:sz w:val="22"/>
          <w:szCs w:val="22"/>
          <w:vertAlign w:val="superscript"/>
          <w:lang w:eastAsia="ar-SA"/>
        </w:rPr>
        <w:t>--1</w:t>
      </w:r>
      <w:r w:rsidRPr="0041254F">
        <w:rPr>
          <w:sz w:val="22"/>
          <w:szCs w:val="22"/>
          <w:lang w:eastAsia="ar-SA"/>
        </w:rPr>
        <w:t>, klasa R4.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Wartość współczynnika R </w:t>
      </w:r>
      <w:r w:rsidRPr="0041254F">
        <w:rPr>
          <w:sz w:val="22"/>
          <w:szCs w:val="22"/>
          <w:vertAlign w:val="subscript"/>
          <w:lang w:eastAsia="ar-SA"/>
        </w:rPr>
        <w:t>L</w:t>
      </w:r>
      <w:r w:rsidRPr="0041254F">
        <w:rPr>
          <w:sz w:val="22"/>
          <w:szCs w:val="22"/>
          <w:lang w:eastAsia="ar-SA"/>
        </w:rPr>
        <w:t xml:space="preserve"> powinna wynosić dla oznakowania eksploatowanego cienkowarstwowego po 30-tym dniu do 6 miesięcy po wykonaniu, barwy: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rFonts w:ascii="Symbol" w:hAnsi="Symbol" w:cs="Symbol"/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lastRenderedPageBreak/>
        <w:t xml:space="preserve">białej, na autostradach, drogach ekspresowych oraz na drogach dwujezdniowych o prędkości </w:t>
      </w:r>
      <w:r w:rsidRPr="0041254F">
        <w:rPr>
          <w:rFonts w:ascii="Symbol" w:hAnsi="Symbol" w:cs="Symbol"/>
          <w:sz w:val="22"/>
          <w:szCs w:val="22"/>
          <w:lang w:eastAsia="ar-SA"/>
        </w:rPr>
        <w:t></w:t>
      </w:r>
      <w:r w:rsidRPr="0041254F">
        <w:rPr>
          <w:sz w:val="22"/>
          <w:szCs w:val="22"/>
          <w:lang w:eastAsia="ar-SA"/>
        </w:rPr>
        <w:t xml:space="preserve"> 100 km/h lub jednojezdniowych czteropasowych o natężeniu ruchu &gt; 10.000 pojazdów rzeczywistych na dobę, co najmniej 200 mcd m</w:t>
      </w:r>
      <w:r w:rsidRPr="0041254F">
        <w:rPr>
          <w:sz w:val="22"/>
          <w:szCs w:val="22"/>
          <w:vertAlign w:val="superscript"/>
          <w:lang w:eastAsia="ar-SA"/>
        </w:rPr>
        <w:t>-2</w:t>
      </w:r>
      <w:r w:rsidRPr="0041254F">
        <w:rPr>
          <w:sz w:val="22"/>
          <w:szCs w:val="22"/>
          <w:lang w:eastAsia="ar-SA"/>
        </w:rPr>
        <w:t xml:space="preserve"> lx</w:t>
      </w:r>
      <w:r w:rsidRPr="0041254F">
        <w:rPr>
          <w:sz w:val="22"/>
          <w:szCs w:val="22"/>
          <w:vertAlign w:val="superscript"/>
          <w:lang w:eastAsia="ar-SA"/>
        </w:rPr>
        <w:t>--1</w:t>
      </w:r>
      <w:r w:rsidRPr="0041254F">
        <w:rPr>
          <w:sz w:val="22"/>
          <w:szCs w:val="22"/>
          <w:lang w:eastAsia="ar-SA"/>
        </w:rPr>
        <w:t>, klasa R4,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rFonts w:ascii="Symbol" w:hAnsi="Symbol" w:cs="Symbol"/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białej, na pozostałych drogach, co najmniej 150 mcd m</w:t>
      </w:r>
      <w:r w:rsidRPr="0041254F">
        <w:rPr>
          <w:sz w:val="22"/>
          <w:szCs w:val="22"/>
          <w:vertAlign w:val="superscript"/>
          <w:lang w:eastAsia="ar-SA"/>
        </w:rPr>
        <w:t>-2</w:t>
      </w:r>
      <w:r w:rsidRPr="0041254F">
        <w:rPr>
          <w:sz w:val="22"/>
          <w:szCs w:val="22"/>
          <w:lang w:eastAsia="ar-SA"/>
        </w:rPr>
        <w:t xml:space="preserve"> lx</w:t>
      </w:r>
      <w:r w:rsidRPr="0041254F">
        <w:rPr>
          <w:sz w:val="22"/>
          <w:szCs w:val="22"/>
          <w:vertAlign w:val="superscript"/>
          <w:lang w:eastAsia="ar-SA"/>
        </w:rPr>
        <w:t>--1</w:t>
      </w:r>
      <w:r w:rsidRPr="0041254F">
        <w:rPr>
          <w:sz w:val="22"/>
          <w:szCs w:val="22"/>
          <w:lang w:eastAsia="ar-SA"/>
        </w:rPr>
        <w:t>, klasa R3.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Wartość współczynnika R </w:t>
      </w:r>
      <w:r w:rsidRPr="0041254F">
        <w:rPr>
          <w:sz w:val="22"/>
          <w:szCs w:val="22"/>
          <w:vertAlign w:val="subscript"/>
          <w:lang w:eastAsia="ar-SA"/>
        </w:rPr>
        <w:t>L</w:t>
      </w:r>
      <w:r w:rsidRPr="0041254F">
        <w:rPr>
          <w:sz w:val="22"/>
          <w:szCs w:val="22"/>
          <w:lang w:eastAsia="ar-SA"/>
        </w:rPr>
        <w:t xml:space="preserve"> powinna wynosić dla oznakowania eksploatowanego cienkowarstwowego po 6-tym miesiącu po wykonaniu, barwy: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rFonts w:ascii="Symbol" w:hAnsi="Symbol" w:cs="Symbol"/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białej, na autostradach, drogach ekspresowych oraz na drogach dwujezdniowych o prędkości </w:t>
      </w:r>
      <w:r w:rsidRPr="0041254F">
        <w:rPr>
          <w:rFonts w:ascii="Symbol" w:hAnsi="Symbol" w:cs="Symbol"/>
          <w:sz w:val="22"/>
          <w:szCs w:val="22"/>
          <w:lang w:eastAsia="ar-SA"/>
        </w:rPr>
        <w:t></w:t>
      </w:r>
      <w:r w:rsidRPr="0041254F">
        <w:rPr>
          <w:sz w:val="22"/>
          <w:szCs w:val="22"/>
          <w:lang w:eastAsia="ar-SA"/>
        </w:rPr>
        <w:t xml:space="preserve"> 100km/h lub jednojezdniowych czteropasowych o natężeniu ruchu &gt; 10.000 pojazdów rzeczywistych na dobę ,co najmniej 150 mcd m</w:t>
      </w:r>
      <w:r w:rsidRPr="0041254F">
        <w:rPr>
          <w:sz w:val="22"/>
          <w:szCs w:val="22"/>
          <w:vertAlign w:val="superscript"/>
          <w:lang w:eastAsia="ar-SA"/>
        </w:rPr>
        <w:t>-2</w:t>
      </w:r>
      <w:r w:rsidRPr="0041254F">
        <w:rPr>
          <w:sz w:val="22"/>
          <w:szCs w:val="22"/>
          <w:lang w:eastAsia="ar-SA"/>
        </w:rPr>
        <w:t xml:space="preserve"> lx</w:t>
      </w:r>
      <w:r w:rsidRPr="0041254F">
        <w:rPr>
          <w:sz w:val="22"/>
          <w:szCs w:val="22"/>
          <w:vertAlign w:val="superscript"/>
          <w:lang w:eastAsia="ar-SA"/>
        </w:rPr>
        <w:t>--1</w:t>
      </w:r>
      <w:r w:rsidRPr="0041254F">
        <w:rPr>
          <w:sz w:val="22"/>
          <w:szCs w:val="22"/>
          <w:lang w:eastAsia="ar-SA"/>
        </w:rPr>
        <w:t>, klasa R3,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rFonts w:ascii="Symbol" w:hAnsi="Symbol" w:cs="Symbol"/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białej, na pozostałych drogach, co najmniej 100 mcd m</w:t>
      </w:r>
      <w:r w:rsidRPr="0041254F">
        <w:rPr>
          <w:sz w:val="22"/>
          <w:szCs w:val="22"/>
          <w:vertAlign w:val="superscript"/>
          <w:lang w:eastAsia="ar-SA"/>
        </w:rPr>
        <w:t>-2</w:t>
      </w:r>
      <w:r w:rsidRPr="0041254F">
        <w:rPr>
          <w:sz w:val="22"/>
          <w:szCs w:val="22"/>
          <w:lang w:eastAsia="ar-SA"/>
        </w:rPr>
        <w:t xml:space="preserve"> lx</w:t>
      </w:r>
      <w:r w:rsidRPr="0041254F">
        <w:rPr>
          <w:sz w:val="22"/>
          <w:szCs w:val="22"/>
          <w:vertAlign w:val="superscript"/>
          <w:lang w:eastAsia="ar-SA"/>
        </w:rPr>
        <w:t>--1</w:t>
      </w:r>
      <w:r w:rsidRPr="0041254F">
        <w:rPr>
          <w:sz w:val="22"/>
          <w:szCs w:val="22"/>
          <w:lang w:eastAsia="ar-SA"/>
        </w:rPr>
        <w:t xml:space="preserve"> , klasa R2.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rFonts w:ascii="Times" w:hAnsi="Times" w:cs="Times"/>
          <w:sz w:val="22"/>
          <w:szCs w:val="22"/>
          <w:lang w:eastAsia="ar-SA"/>
        </w:rPr>
      </w:pPr>
      <w:r w:rsidRPr="0041254F">
        <w:rPr>
          <w:rFonts w:ascii="Times" w:hAnsi="Times" w:cs="Times"/>
          <w:sz w:val="22"/>
          <w:szCs w:val="22"/>
          <w:lang w:eastAsia="ar-SA"/>
        </w:rPr>
        <w:t>Na nawierzchniach dróg o grubej makroteksturze, / powierzchniowe utrwalenie, SMA / oraz na odcinkach dróg przechodz</w:t>
      </w:r>
      <w:r w:rsidRPr="0041254F">
        <w:rPr>
          <w:sz w:val="22"/>
          <w:szCs w:val="22"/>
          <w:lang w:eastAsia="ar-SA"/>
        </w:rPr>
        <w:t>ą</w:t>
      </w:r>
      <w:r w:rsidRPr="0041254F">
        <w:rPr>
          <w:rFonts w:ascii="Times" w:hAnsi="Times" w:cs="Times"/>
          <w:sz w:val="22"/>
          <w:szCs w:val="22"/>
          <w:lang w:eastAsia="ar-SA"/>
        </w:rPr>
        <w:t>cych przez miasta mo</w:t>
      </w:r>
      <w:r w:rsidRPr="0041254F">
        <w:rPr>
          <w:sz w:val="22"/>
          <w:szCs w:val="22"/>
          <w:lang w:eastAsia="ar-SA"/>
        </w:rPr>
        <w:t>ż</w:t>
      </w:r>
      <w:r w:rsidRPr="0041254F">
        <w:rPr>
          <w:rFonts w:ascii="Times" w:hAnsi="Times" w:cs="Times"/>
          <w:sz w:val="22"/>
          <w:szCs w:val="22"/>
          <w:lang w:eastAsia="ar-SA"/>
        </w:rPr>
        <w:t>na wyj</w:t>
      </w:r>
      <w:r w:rsidRPr="0041254F">
        <w:rPr>
          <w:sz w:val="22"/>
          <w:szCs w:val="22"/>
          <w:lang w:eastAsia="ar-SA"/>
        </w:rPr>
        <w:t>ą</w:t>
      </w:r>
      <w:r w:rsidRPr="0041254F">
        <w:rPr>
          <w:rFonts w:ascii="Times" w:hAnsi="Times" w:cs="Times"/>
          <w:sz w:val="22"/>
          <w:szCs w:val="22"/>
          <w:lang w:eastAsia="ar-SA"/>
        </w:rPr>
        <w:t>tkowo, tylko na drogach okre</w:t>
      </w:r>
      <w:r w:rsidRPr="0041254F">
        <w:rPr>
          <w:sz w:val="22"/>
          <w:szCs w:val="22"/>
          <w:lang w:eastAsia="ar-SA"/>
        </w:rPr>
        <w:t>ś</w:t>
      </w:r>
      <w:r w:rsidRPr="0041254F">
        <w:rPr>
          <w:rFonts w:ascii="Times" w:hAnsi="Times" w:cs="Times"/>
          <w:sz w:val="22"/>
          <w:szCs w:val="22"/>
          <w:lang w:eastAsia="ar-SA"/>
        </w:rPr>
        <w:t>lonych w tablicy 5, dopu</w:t>
      </w:r>
      <w:r w:rsidRPr="0041254F">
        <w:rPr>
          <w:sz w:val="22"/>
          <w:szCs w:val="22"/>
          <w:lang w:eastAsia="ar-SA"/>
        </w:rPr>
        <w:t>ś</w:t>
      </w:r>
      <w:r w:rsidRPr="0041254F">
        <w:rPr>
          <w:rFonts w:ascii="Times" w:hAnsi="Times" w:cs="Times"/>
          <w:sz w:val="22"/>
          <w:szCs w:val="22"/>
          <w:lang w:eastAsia="ar-SA"/>
        </w:rPr>
        <w:t>ci</w:t>
      </w:r>
      <w:r w:rsidRPr="0041254F">
        <w:rPr>
          <w:sz w:val="22"/>
          <w:szCs w:val="22"/>
          <w:lang w:eastAsia="ar-SA"/>
        </w:rPr>
        <w:t>ć</w:t>
      </w:r>
      <w:r w:rsidRPr="0041254F">
        <w:rPr>
          <w:rFonts w:ascii="Times" w:hAnsi="Times" w:cs="Times"/>
          <w:sz w:val="22"/>
          <w:szCs w:val="22"/>
          <w:lang w:eastAsia="ar-SA"/>
        </w:rPr>
        <w:t xml:space="preserve"> warto</w:t>
      </w:r>
      <w:r w:rsidRPr="0041254F">
        <w:rPr>
          <w:sz w:val="22"/>
          <w:szCs w:val="22"/>
          <w:lang w:eastAsia="ar-SA"/>
        </w:rPr>
        <w:t>ść</w:t>
      </w:r>
      <w:r w:rsidRPr="0041254F">
        <w:rPr>
          <w:rFonts w:ascii="Times" w:hAnsi="Times" w:cs="Times"/>
          <w:sz w:val="22"/>
          <w:szCs w:val="22"/>
          <w:lang w:eastAsia="ar-SA"/>
        </w:rPr>
        <w:t xml:space="preserve"> współczynnika odblasku R </w:t>
      </w:r>
      <w:r w:rsidRPr="0041254F">
        <w:rPr>
          <w:rFonts w:ascii="Times" w:hAnsi="Times" w:cs="Times"/>
          <w:sz w:val="22"/>
          <w:szCs w:val="22"/>
          <w:vertAlign w:val="subscript"/>
          <w:lang w:eastAsia="ar-SA"/>
        </w:rPr>
        <w:t>L</w:t>
      </w:r>
      <w:r w:rsidRPr="0041254F">
        <w:rPr>
          <w:rFonts w:ascii="Times" w:hAnsi="Times" w:cs="Times"/>
          <w:sz w:val="22"/>
          <w:szCs w:val="22"/>
          <w:lang w:eastAsia="ar-SA"/>
        </w:rPr>
        <w:t xml:space="preserve"> </w:t>
      </w:r>
      <w:r w:rsidRPr="0041254F">
        <w:rPr>
          <w:rFonts w:ascii="Times" w:hAnsi="Times" w:cs="Times"/>
          <w:sz w:val="22"/>
          <w:szCs w:val="22"/>
          <w:u w:val="single"/>
          <w:lang w:eastAsia="ar-SA"/>
        </w:rPr>
        <w:t>dla oznakowania cienkowarstwowego</w:t>
      </w:r>
      <w:r w:rsidRPr="0041254F">
        <w:rPr>
          <w:rFonts w:ascii="Times" w:hAnsi="Times" w:cs="Times"/>
          <w:sz w:val="22"/>
          <w:szCs w:val="22"/>
          <w:lang w:eastAsia="ar-SA"/>
        </w:rPr>
        <w:t xml:space="preserve"> o 20 % ni</w:t>
      </w:r>
      <w:r w:rsidRPr="0041254F">
        <w:rPr>
          <w:sz w:val="22"/>
          <w:szCs w:val="22"/>
          <w:lang w:eastAsia="ar-SA"/>
        </w:rPr>
        <w:t>ż</w:t>
      </w:r>
      <w:r w:rsidRPr="0041254F">
        <w:rPr>
          <w:rFonts w:ascii="Times" w:hAnsi="Times" w:cs="Times"/>
          <w:sz w:val="22"/>
          <w:szCs w:val="22"/>
          <w:lang w:eastAsia="ar-SA"/>
        </w:rPr>
        <w:t>szy od przyj</w:t>
      </w:r>
      <w:r w:rsidRPr="0041254F">
        <w:rPr>
          <w:sz w:val="22"/>
          <w:szCs w:val="22"/>
          <w:lang w:eastAsia="ar-SA"/>
        </w:rPr>
        <w:t>ę</w:t>
      </w:r>
      <w:r w:rsidRPr="0041254F">
        <w:rPr>
          <w:rFonts w:ascii="Times" w:hAnsi="Times" w:cs="Times"/>
          <w:sz w:val="22"/>
          <w:szCs w:val="22"/>
          <w:lang w:eastAsia="ar-SA"/>
        </w:rPr>
        <w:t>tych w niniejszym SST.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rFonts w:ascii="Times" w:hAnsi="Times" w:cs="Times"/>
          <w:sz w:val="22"/>
          <w:szCs w:val="22"/>
          <w:lang w:eastAsia="ar-SA"/>
        </w:rPr>
      </w:pPr>
    </w:p>
    <w:p w:rsidR="00457CC1" w:rsidRPr="0041254F" w:rsidRDefault="00457CC1" w:rsidP="00457CC1">
      <w:pPr>
        <w:widowControl w:val="0"/>
        <w:suppressAutoHyphens/>
        <w:overflowPunct w:val="0"/>
        <w:autoSpaceDE w:val="0"/>
        <w:autoSpaceDN w:val="0"/>
        <w:adjustRightInd w:val="0"/>
        <w:spacing w:line="239" w:lineRule="auto"/>
        <w:ind w:left="44"/>
        <w:jc w:val="both"/>
        <w:rPr>
          <w:sz w:val="22"/>
          <w:szCs w:val="22"/>
          <w:lang w:eastAsia="ar-SA"/>
        </w:rPr>
      </w:pPr>
      <w:r w:rsidRPr="0041254F">
        <w:rPr>
          <w:rFonts w:ascii="Times" w:hAnsi="Times" w:cs="Times"/>
          <w:sz w:val="22"/>
          <w:szCs w:val="22"/>
          <w:lang w:eastAsia="ar-SA"/>
        </w:rPr>
        <w:t>6.3.1.4. Szorstko</w:t>
      </w:r>
      <w:r w:rsidRPr="0041254F">
        <w:rPr>
          <w:sz w:val="22"/>
          <w:szCs w:val="22"/>
          <w:lang w:eastAsia="ar-SA"/>
        </w:rPr>
        <w:t>ść</w:t>
      </w:r>
      <w:r w:rsidRPr="0041254F">
        <w:rPr>
          <w:rFonts w:ascii="Times" w:hAnsi="Times" w:cs="Times"/>
          <w:sz w:val="22"/>
          <w:szCs w:val="22"/>
          <w:lang w:eastAsia="ar-SA"/>
        </w:rPr>
        <w:t xml:space="preserve"> oznakowania</w:t>
      </w:r>
    </w:p>
    <w:p w:rsidR="00457CC1" w:rsidRPr="0041254F" w:rsidRDefault="00457CC1" w:rsidP="00457CC1">
      <w:pPr>
        <w:widowControl w:val="0"/>
        <w:suppressAutoHyphens/>
        <w:overflowPunct w:val="0"/>
        <w:autoSpaceDE w:val="0"/>
        <w:autoSpaceDN w:val="0"/>
        <w:adjustRightInd w:val="0"/>
        <w:spacing w:line="131" w:lineRule="exact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Miarą szorstkości oznakowania jest wartość wskaźnika szorstkości SRT (</w:t>
      </w:r>
      <w:proofErr w:type="spellStart"/>
      <w:r w:rsidRPr="0041254F">
        <w:rPr>
          <w:sz w:val="22"/>
          <w:szCs w:val="22"/>
          <w:lang w:eastAsia="ar-SA"/>
        </w:rPr>
        <w:t>Skid</w:t>
      </w:r>
      <w:proofErr w:type="spellEnd"/>
      <w:r w:rsidRPr="0041254F">
        <w:rPr>
          <w:sz w:val="22"/>
          <w:szCs w:val="22"/>
          <w:lang w:eastAsia="ar-SA"/>
        </w:rPr>
        <w:t xml:space="preserve"> </w:t>
      </w:r>
      <w:proofErr w:type="spellStart"/>
      <w:r w:rsidRPr="0041254F">
        <w:rPr>
          <w:sz w:val="22"/>
          <w:szCs w:val="22"/>
          <w:lang w:eastAsia="ar-SA"/>
        </w:rPr>
        <w:t>Resistance</w:t>
      </w:r>
      <w:proofErr w:type="spellEnd"/>
      <w:r w:rsidRPr="0041254F">
        <w:rPr>
          <w:sz w:val="22"/>
          <w:szCs w:val="22"/>
          <w:lang w:eastAsia="ar-SA"/>
        </w:rPr>
        <w:t xml:space="preserve"> Tester) mierzona wahadłem angielskim, wg PN-EN 1436:2000 [4] lub POD-97 [9] . Wartość SRT symuluje warunki, w których pojazd wyposażony w typowe opony hamuje z blokadą kół przy prędkości 50 km/h na mokrej nawierzchni.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Wymaga się, aby wartość wskaźnika szorstkości SRT wynosiła na oznakowaniu: </w:t>
      </w:r>
      <w:r w:rsidRPr="0041254F">
        <w:rPr>
          <w:rFonts w:ascii="Symbol" w:hAnsi="Symbol" w:cs="Symbol"/>
          <w:sz w:val="22"/>
          <w:szCs w:val="22"/>
          <w:lang w:eastAsia="ar-SA"/>
        </w:rPr>
        <w:t></w:t>
      </w:r>
      <w:r w:rsidRPr="0041254F">
        <w:rPr>
          <w:sz w:val="22"/>
          <w:szCs w:val="22"/>
          <w:lang w:eastAsia="ar-SA"/>
        </w:rPr>
        <w:t xml:space="preserve"> w ciągu całego okresu użytkowania, co najmniej 45 jednostek SRT (klasa S1).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Uzyskanie większej szorstkości oznakowania, wiąże się z zastosowaniem kruszywa przeciwpoślizgowego samego lub w mieszaninie z kulkami szklanymi wg PN-EN 1423:2001 [3]. Należy przy tym wziąć pod uwagę jednoczesne obniżenie wartości współczynnika luminancji i współczynnika odblasku.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Szorstkość oznakowania, na którym nie zastosowano kruszywa przeciwpoślizgowego, zazwyczaj wzrasta w okresie eksploatacji oznakowania, dlatego nie należy wymagać wyższej jego wartości na starcie, a niższej w okresie gwarancji.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Nie przewidujemy zastosowania kruszywa przeciwpoślizgowego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Nie wymagamy pomiarów wskaźnika szorstkości SRT oznakowania. W przypadku zaistnienia wątpliwości co do szorstkości wykonanego oznakowania, Inżynier może zlecić wykonanie tego badania.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bookmarkStart w:id="3" w:name="page13"/>
      <w:bookmarkEnd w:id="3"/>
      <w:r w:rsidRPr="0041254F">
        <w:rPr>
          <w:i/>
          <w:iCs/>
          <w:sz w:val="22"/>
          <w:szCs w:val="22"/>
          <w:lang w:eastAsia="ar-SA"/>
        </w:rPr>
        <w:t>UWAGA: Wskaźnik szorstkości SRT w normach powierzchniowych został nazwany PTV (</w:t>
      </w:r>
      <w:proofErr w:type="spellStart"/>
      <w:r w:rsidRPr="0041254F">
        <w:rPr>
          <w:i/>
          <w:iCs/>
          <w:sz w:val="22"/>
          <w:szCs w:val="22"/>
          <w:lang w:eastAsia="ar-SA"/>
        </w:rPr>
        <w:t>Polishing</w:t>
      </w:r>
      <w:proofErr w:type="spellEnd"/>
      <w:r w:rsidRPr="0041254F">
        <w:rPr>
          <w:i/>
          <w:iCs/>
          <w:sz w:val="22"/>
          <w:szCs w:val="22"/>
          <w:lang w:eastAsia="ar-SA"/>
        </w:rPr>
        <w:t xml:space="preserve"> Test Value) za PN-EN 13 036-4:2004(U)[6a]. Metoda pomiaru i sprzęt do jego wykonania są identyczne z przyjętymi w PN-EN 1436:2000[4] dla </w:t>
      </w:r>
      <w:proofErr w:type="spellStart"/>
      <w:r w:rsidRPr="0041254F">
        <w:rPr>
          <w:i/>
          <w:iCs/>
          <w:sz w:val="22"/>
          <w:szCs w:val="22"/>
          <w:lang w:eastAsia="ar-SA"/>
        </w:rPr>
        <w:t>oznakowań</w:t>
      </w:r>
      <w:proofErr w:type="spellEnd"/>
      <w:r w:rsidRPr="0041254F">
        <w:rPr>
          <w:i/>
          <w:iCs/>
          <w:sz w:val="22"/>
          <w:szCs w:val="22"/>
          <w:lang w:eastAsia="ar-SA"/>
        </w:rPr>
        <w:t xml:space="preserve"> poziomych.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widowControl w:val="0"/>
        <w:suppressAutoHyphens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sz w:val="22"/>
          <w:szCs w:val="22"/>
          <w:lang w:eastAsia="ar-SA"/>
        </w:rPr>
      </w:pPr>
      <w:r w:rsidRPr="0041254F">
        <w:rPr>
          <w:rFonts w:ascii="Times" w:hAnsi="Times" w:cs="Times"/>
          <w:sz w:val="22"/>
          <w:szCs w:val="22"/>
          <w:lang w:eastAsia="ar-SA"/>
        </w:rPr>
        <w:t>6.3.1.5. Trwało</w:t>
      </w:r>
      <w:r w:rsidRPr="0041254F">
        <w:rPr>
          <w:sz w:val="22"/>
          <w:szCs w:val="22"/>
          <w:lang w:eastAsia="ar-SA"/>
        </w:rPr>
        <w:t>ść</w:t>
      </w:r>
      <w:r w:rsidRPr="0041254F">
        <w:rPr>
          <w:rFonts w:ascii="Times" w:hAnsi="Times" w:cs="Times"/>
          <w:sz w:val="22"/>
          <w:szCs w:val="22"/>
          <w:lang w:eastAsia="ar-SA"/>
        </w:rPr>
        <w:t xml:space="preserve"> oznakowania</w:t>
      </w:r>
    </w:p>
    <w:p w:rsidR="00457CC1" w:rsidRPr="0041254F" w:rsidRDefault="00457CC1" w:rsidP="00457CC1">
      <w:pPr>
        <w:widowControl w:val="0"/>
        <w:suppressAutoHyphens/>
        <w:overflowPunct w:val="0"/>
        <w:autoSpaceDE w:val="0"/>
        <w:autoSpaceDN w:val="0"/>
        <w:adjustRightInd w:val="0"/>
        <w:spacing w:line="131" w:lineRule="exact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Trwałość oznakowania cienkowarstwowego oceniana jako stopień zużycia w 10-stopniowej skali LCPC określonej w POD-97 [9] powinna wynosić po 12-miesięcznym okresie eksploatacji oznakowania co najmniej 6.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Taka metoda oceny znajduje szczególnie zastosowanie do oceny przydatności materiałów do poziomego oznakowania dróg.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W celach kontrolnych trwałość jest oceniana pośrednio przez sprawdzenie spełniania wymagań widoczności w dzień, w nocy i szorstkości.</w:t>
      </w:r>
    </w:p>
    <w:p w:rsidR="00457CC1" w:rsidRPr="0041254F" w:rsidRDefault="00457CC1" w:rsidP="00457CC1">
      <w:pPr>
        <w:widowControl w:val="0"/>
        <w:suppressAutoHyphens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Times" w:hAnsi="Times" w:cs="Times"/>
          <w:sz w:val="22"/>
          <w:szCs w:val="22"/>
          <w:lang w:eastAsia="ar-SA"/>
        </w:rPr>
      </w:pPr>
    </w:p>
    <w:p w:rsidR="00457CC1" w:rsidRPr="0041254F" w:rsidRDefault="00457CC1" w:rsidP="00457CC1">
      <w:pPr>
        <w:widowControl w:val="0"/>
        <w:suppressAutoHyphens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sz w:val="22"/>
          <w:szCs w:val="22"/>
          <w:lang w:eastAsia="ar-SA"/>
        </w:rPr>
      </w:pPr>
      <w:r w:rsidRPr="0041254F">
        <w:rPr>
          <w:rFonts w:ascii="Times" w:hAnsi="Times" w:cs="Times"/>
          <w:sz w:val="22"/>
          <w:szCs w:val="22"/>
          <w:lang w:eastAsia="ar-SA"/>
        </w:rPr>
        <w:t>6.3.1.6. Czas schni</w:t>
      </w:r>
      <w:r w:rsidRPr="0041254F">
        <w:rPr>
          <w:sz w:val="22"/>
          <w:szCs w:val="22"/>
          <w:lang w:eastAsia="ar-SA"/>
        </w:rPr>
        <w:t>ę</w:t>
      </w:r>
      <w:r w:rsidRPr="0041254F">
        <w:rPr>
          <w:rFonts w:ascii="Times" w:hAnsi="Times" w:cs="Times"/>
          <w:sz w:val="22"/>
          <w:szCs w:val="22"/>
          <w:lang w:eastAsia="ar-SA"/>
        </w:rPr>
        <w:t>cia oznakowania (wzgl</w:t>
      </w:r>
      <w:r w:rsidRPr="0041254F">
        <w:rPr>
          <w:sz w:val="22"/>
          <w:szCs w:val="22"/>
          <w:lang w:eastAsia="ar-SA"/>
        </w:rPr>
        <w:t>ę</w:t>
      </w:r>
      <w:r w:rsidRPr="0041254F">
        <w:rPr>
          <w:rFonts w:ascii="Times" w:hAnsi="Times" w:cs="Times"/>
          <w:sz w:val="22"/>
          <w:szCs w:val="22"/>
          <w:lang w:eastAsia="ar-SA"/>
        </w:rPr>
        <w:t>dnie czas do przejezdno</w:t>
      </w:r>
      <w:r w:rsidRPr="0041254F">
        <w:rPr>
          <w:sz w:val="22"/>
          <w:szCs w:val="22"/>
          <w:lang w:eastAsia="ar-SA"/>
        </w:rPr>
        <w:t>ś</w:t>
      </w:r>
      <w:r w:rsidRPr="0041254F">
        <w:rPr>
          <w:rFonts w:ascii="Times" w:hAnsi="Times" w:cs="Times"/>
          <w:sz w:val="22"/>
          <w:szCs w:val="22"/>
          <w:lang w:eastAsia="ar-SA"/>
        </w:rPr>
        <w:t>ci oznakowania)</w:t>
      </w:r>
    </w:p>
    <w:p w:rsidR="00457CC1" w:rsidRPr="0041254F" w:rsidRDefault="00457CC1" w:rsidP="00457CC1">
      <w:pPr>
        <w:widowControl w:val="0"/>
        <w:suppressAutoHyphens/>
        <w:overflowPunct w:val="0"/>
        <w:autoSpaceDE w:val="0"/>
        <w:autoSpaceDN w:val="0"/>
        <w:adjustRightInd w:val="0"/>
        <w:spacing w:line="131" w:lineRule="exact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lastRenderedPageBreak/>
        <w:t>Za czas schnięcia oznakowania przyjmuje się czas upływający między wykonaniem oznakowania a jego oddaniem do ruchu.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Czas schnięcia oznakowania nie powinien przekraczać czasu gwarantowanego przez producenta, z tym że nie może przekraczać 2 godzin w przypadku </w:t>
      </w:r>
      <w:proofErr w:type="spellStart"/>
      <w:r w:rsidRPr="0041254F">
        <w:rPr>
          <w:sz w:val="22"/>
          <w:szCs w:val="22"/>
          <w:lang w:eastAsia="ar-SA"/>
        </w:rPr>
        <w:t>wymalowań</w:t>
      </w:r>
      <w:proofErr w:type="spellEnd"/>
      <w:r w:rsidRPr="0041254F">
        <w:rPr>
          <w:sz w:val="22"/>
          <w:szCs w:val="22"/>
          <w:lang w:eastAsia="ar-SA"/>
        </w:rPr>
        <w:t xml:space="preserve"> nocnych i 1 godziny w przypadku </w:t>
      </w:r>
      <w:proofErr w:type="spellStart"/>
      <w:r w:rsidRPr="0041254F">
        <w:rPr>
          <w:sz w:val="22"/>
          <w:szCs w:val="22"/>
          <w:lang w:eastAsia="ar-SA"/>
        </w:rPr>
        <w:t>wymalowań</w:t>
      </w:r>
      <w:proofErr w:type="spellEnd"/>
      <w:r w:rsidRPr="0041254F">
        <w:rPr>
          <w:sz w:val="22"/>
          <w:szCs w:val="22"/>
          <w:lang w:eastAsia="ar-SA"/>
        </w:rPr>
        <w:t xml:space="preserve"> dziennych. Metoda oznaczenia czasu schnięcia znajduje się w POD-97 [9].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6.3.1.7. Grubość oznakowania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b/>
          <w:bCs/>
          <w:sz w:val="22"/>
          <w:szCs w:val="22"/>
          <w:lang w:eastAsia="ar-SA"/>
        </w:rPr>
        <w:t>Grubość oznakowania</w:t>
      </w:r>
      <w:r w:rsidRPr="0041254F">
        <w:rPr>
          <w:sz w:val="22"/>
          <w:szCs w:val="22"/>
          <w:lang w:eastAsia="ar-SA"/>
        </w:rPr>
        <w:t>, tj. podwyższenie ponad górną</w:t>
      </w:r>
      <w:r w:rsidRPr="0041254F">
        <w:rPr>
          <w:b/>
          <w:bCs/>
          <w:sz w:val="22"/>
          <w:szCs w:val="22"/>
          <w:lang w:eastAsia="ar-SA"/>
        </w:rPr>
        <w:t xml:space="preserve"> </w:t>
      </w:r>
      <w:r w:rsidRPr="0041254F">
        <w:rPr>
          <w:sz w:val="22"/>
          <w:szCs w:val="22"/>
          <w:lang w:eastAsia="ar-SA"/>
        </w:rPr>
        <w:t>powierzchnię</w:t>
      </w:r>
      <w:r w:rsidRPr="0041254F">
        <w:rPr>
          <w:b/>
          <w:bCs/>
          <w:sz w:val="22"/>
          <w:szCs w:val="22"/>
          <w:lang w:eastAsia="ar-SA"/>
        </w:rPr>
        <w:t xml:space="preserve"> </w:t>
      </w:r>
      <w:r w:rsidRPr="0041254F">
        <w:rPr>
          <w:sz w:val="22"/>
          <w:szCs w:val="22"/>
          <w:lang w:eastAsia="ar-SA"/>
        </w:rPr>
        <w:t>nawierzchni, powinna wynosić</w:t>
      </w:r>
      <w:r w:rsidRPr="0041254F">
        <w:rPr>
          <w:b/>
          <w:bCs/>
          <w:sz w:val="22"/>
          <w:szCs w:val="22"/>
          <w:lang w:eastAsia="ar-SA"/>
        </w:rPr>
        <w:t xml:space="preserve"> </w:t>
      </w:r>
      <w:r w:rsidRPr="0041254F">
        <w:rPr>
          <w:sz w:val="22"/>
          <w:szCs w:val="22"/>
          <w:lang w:eastAsia="ar-SA"/>
        </w:rPr>
        <w:t xml:space="preserve">dla oznakowania cienkowarstwowego ( grubość na mokro bez kulek szklanych ), </w:t>
      </w:r>
      <w:r w:rsidRPr="0041254F">
        <w:rPr>
          <w:b/>
          <w:bCs/>
          <w:sz w:val="22"/>
          <w:szCs w:val="22"/>
          <w:lang w:eastAsia="ar-SA"/>
        </w:rPr>
        <w:t>nie mniej niż</w:t>
      </w:r>
      <w:r w:rsidRPr="0041254F">
        <w:rPr>
          <w:sz w:val="22"/>
          <w:szCs w:val="22"/>
          <w:lang w:eastAsia="ar-SA"/>
        </w:rPr>
        <w:t xml:space="preserve"> </w:t>
      </w:r>
      <w:r w:rsidRPr="0041254F">
        <w:rPr>
          <w:b/>
          <w:bCs/>
          <w:sz w:val="22"/>
          <w:szCs w:val="22"/>
          <w:lang w:eastAsia="ar-SA"/>
        </w:rPr>
        <w:t>0,6 mm i nie</w:t>
      </w:r>
      <w:r w:rsidRPr="0041254F">
        <w:rPr>
          <w:sz w:val="22"/>
          <w:szCs w:val="22"/>
          <w:lang w:eastAsia="ar-SA"/>
        </w:rPr>
        <w:t xml:space="preserve"> </w:t>
      </w:r>
      <w:r w:rsidRPr="0041254F">
        <w:rPr>
          <w:b/>
          <w:bCs/>
          <w:sz w:val="22"/>
          <w:szCs w:val="22"/>
          <w:lang w:eastAsia="ar-SA"/>
        </w:rPr>
        <w:t>więcej niż 0,89 mm,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Wymagania te nie obowiązują, jeśli nawierzchnia pod znakowaniem jest wyfrezowana.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Badania wykonania znakowania poziomego z materiału cienkowarstwowego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Wykonawca wykonując znakowanie poziome z materiału cienkowarstwowego przeprowadza przed rozpoczęciem każdej pracy oraz w czasie jej wykonywania, co najmniej raz dziennie, następujące badania: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a) przed rozpoczęciem pracy: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sprawdzenie oznakowania opakowań,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wizualną ocenę stanu materiału, w zakresie jego jednorodności i widocznych wad,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pomiar wilgotności względnej powietrza,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pomiar temperatury powietrza i nawierzchni,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badanie lepkości farby, wg POD-97 [9] 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b) w czasie wykonywania pracy: </w:t>
      </w:r>
    </w:p>
    <w:p w:rsidR="00457CC1" w:rsidRPr="0041254F" w:rsidRDefault="00457CC1" w:rsidP="00E8173C">
      <w:pPr>
        <w:suppressAutoHyphens/>
        <w:overflowPunct w:val="0"/>
        <w:autoSpaceDE w:val="0"/>
        <w:spacing w:line="276" w:lineRule="auto"/>
        <w:ind w:left="284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pomiar grubości warstwy oznakowania / na mokro przy pomocy g</w:t>
      </w:r>
      <w:r w:rsidR="00E8173C">
        <w:rPr>
          <w:sz w:val="22"/>
          <w:szCs w:val="22"/>
          <w:lang w:eastAsia="ar-SA"/>
        </w:rPr>
        <w:t xml:space="preserve">rzebienia pomiarowego na płytce </w:t>
      </w:r>
      <w:r w:rsidRPr="0041254F">
        <w:rPr>
          <w:sz w:val="22"/>
          <w:szCs w:val="22"/>
          <w:lang w:eastAsia="ar-SA"/>
        </w:rPr>
        <w:t xml:space="preserve">metalowej podkładanej pod </w:t>
      </w:r>
      <w:proofErr w:type="spellStart"/>
      <w:r w:rsidRPr="0041254F">
        <w:rPr>
          <w:sz w:val="22"/>
          <w:szCs w:val="22"/>
          <w:lang w:eastAsia="ar-SA"/>
        </w:rPr>
        <w:t>malowarkę</w:t>
      </w:r>
      <w:proofErr w:type="spellEnd"/>
      <w:r w:rsidRPr="0041254F">
        <w:rPr>
          <w:sz w:val="22"/>
          <w:szCs w:val="22"/>
          <w:lang w:eastAsia="ar-SA"/>
        </w:rPr>
        <w:t xml:space="preserve"> , z wyłączonymi kulkami szklanymi , na drodze / , </w:t>
      </w:r>
    </w:p>
    <w:p w:rsidR="00457CC1" w:rsidRPr="0041254F" w:rsidRDefault="00457CC1" w:rsidP="00E8173C">
      <w:pPr>
        <w:suppressAutoHyphens/>
        <w:overflowPunct w:val="0"/>
        <w:autoSpaceDE w:val="0"/>
        <w:spacing w:line="276" w:lineRule="auto"/>
        <w:ind w:left="284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pomiar czasu schnięcia, wizualną ocenę równomierności rozłożenia kulek szklanych podczas objazdu w nocy, pomiar poziomych wymiarów oznakowania, na zgodność z dokumentacją projektową i załącznikiem nr 2 do rozporządzenia Ministra Infrastruktury [7], wizualną ocenę równomierności skropienia (rozłożenia materiału) na całej szerokości linii, oznaczenia czasu przejezdności, wg POD-97 [9] 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Do odbioru dołączany jest protokół z badań grubości, przeprowadzonych przez Inspektora nadzoru, wraz z próbkami materiału bez kulek szklanych, na oznakowanej płytce metalowej . Pomiar wykonywany jest na mokro przy pomocy grzebienia pomiarowego, kontrolnie dopuszcza się także pomiar na sucho za pomocą </w:t>
      </w:r>
      <w:proofErr w:type="spellStart"/>
      <w:r w:rsidRPr="0041254F">
        <w:rPr>
          <w:sz w:val="22"/>
          <w:szCs w:val="22"/>
          <w:lang w:eastAsia="ar-SA"/>
        </w:rPr>
        <w:t>ultrametru</w:t>
      </w:r>
      <w:proofErr w:type="spellEnd"/>
      <w:r w:rsidRPr="0041254F">
        <w:rPr>
          <w:sz w:val="22"/>
          <w:szCs w:val="22"/>
          <w:lang w:eastAsia="ar-SA"/>
        </w:rPr>
        <w:t xml:space="preserve">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Wykonawca, w każdym sezonie, w ramach przygotowań do ;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1. odbioru częściowego lub ostatecznego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2. przeglądu gwarancyjnego wiosennego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zleci wykonanie na własny koszt w Laboratorium Drogowym specjalistycznych badań zrealizowanego oznakowania w zakresie widzialności w nocy i w dzień [ </w:t>
      </w:r>
      <w:proofErr w:type="spellStart"/>
      <w:r w:rsidRPr="0041254F">
        <w:rPr>
          <w:sz w:val="22"/>
          <w:szCs w:val="22"/>
          <w:lang w:eastAsia="ar-SA"/>
        </w:rPr>
        <w:t>Rl</w:t>
      </w:r>
      <w:proofErr w:type="spellEnd"/>
      <w:r w:rsidRPr="0041254F">
        <w:rPr>
          <w:sz w:val="22"/>
          <w:szCs w:val="22"/>
          <w:lang w:eastAsia="ar-SA"/>
        </w:rPr>
        <w:t xml:space="preserve"> i </w:t>
      </w:r>
      <w:proofErr w:type="spellStart"/>
      <w:r w:rsidRPr="0041254F">
        <w:rPr>
          <w:sz w:val="22"/>
          <w:szCs w:val="22"/>
          <w:lang w:eastAsia="ar-SA"/>
        </w:rPr>
        <w:t>Qd</w:t>
      </w:r>
      <w:proofErr w:type="spellEnd"/>
      <w:r w:rsidRPr="0041254F">
        <w:rPr>
          <w:sz w:val="22"/>
          <w:szCs w:val="22"/>
          <w:lang w:eastAsia="ar-SA"/>
        </w:rPr>
        <w:t xml:space="preserve"> (lub β)]. Pomiary współczynnika odblaskowości i luminacji należy wykonać na malowanych odcinkach dróg przy użyciu mobilnego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reflektometru zainstalowanego na samochodzie i wykonującego pomiary w ruchu / metoda dynamiczna /.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Dopuszcza się wykonanie pomiarów współczynnika odblaskowości i luminacji aparatami ręcznymi.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lastRenderedPageBreak/>
        <w:t xml:space="preserve">Częstotliwość pomiarów widzialności w dzień i w nocy aparatami ręcznymi należy dostosować do długości badanego odcinka*), zgodnie z tablicą 2, w przypadku pomiarów nie wykonywanych metodą dynamiczną 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Na odcinkach dróg o złym stanie technicznym nawierzchni oraz na nawierzchniach kostkowych nie wykonujemy badań widzialności w nocy i w dzień . Na tych odcinkach dróg przeprowadzamy jedynie ocenę wizualną oznakowania. Stan techniczny odcinka drogi przyjmujemy za „ zły ”gdy co najmniej jeden z czterech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parametrów Systemu Oceny Stanu Nawierzchni ( SOSN ): </w:t>
      </w:r>
    </w:p>
    <w:p w:rsidR="00457CC1" w:rsidRPr="0041254F" w:rsidRDefault="00457CC1" w:rsidP="00E8173C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N ( stan spękań ), R ( równość podłużna ), K ( równość poprzeczna – koleiny ), P ( stan powierzchni ) jest w klasie D 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Do odbioru i w przypadku wątpliwości dotyczących wykonania oznakowania poziomego, Inżynier może zlecić wykonanie dodatkowych badań: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widzialności w nocy,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widzialności w dzień, </w:t>
      </w:r>
    </w:p>
    <w:p w:rsidR="00457CC1" w:rsidRPr="0041254F" w:rsidRDefault="00E8173C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szorstkości,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odpowiadających wymaganiom podanym w punkcie 6.3.1 i wykonanych według metod określonych w Warunkach technicznych POD-97 [9] . Jeżeli wyniki tych badań wykażą wadliwość wykonanego oznakowania to koszt badań ponosi Wykonawca, w przypadku przeciwnym - Zamawiający. Badania powinien zlecać Zamawiający do laboratorium drogowego.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 przypadku wykonywania pomiarów współczynnika odblaskowości i współczynników luminancji aparatami ręcznymi częstotliwość pomiarów należy dostosować do długości badanego odcinka, zgodnie z tablicą 2.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W każdym z mierzonych punktów należy wykonać po 5 odczytów współczynnika odblasku i po 3 odczyty współczynników luminancji w odległości jeden od drugiego minimum 1 m.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suppressAutoHyphens/>
        <w:overflowPunct w:val="0"/>
        <w:autoSpaceDE w:val="0"/>
        <w:jc w:val="center"/>
        <w:rPr>
          <w:bCs/>
          <w:sz w:val="22"/>
          <w:szCs w:val="22"/>
          <w:lang w:eastAsia="ar-SA"/>
        </w:rPr>
      </w:pPr>
      <w:r w:rsidRPr="0041254F">
        <w:rPr>
          <w:bCs/>
          <w:sz w:val="22"/>
          <w:szCs w:val="22"/>
          <w:lang w:eastAsia="ar-SA"/>
        </w:rPr>
        <w:t>Tablica 2. Częstotliwość pomiarów współczynników odblaskowości i luminancji aparatami ręcznymi</w:t>
      </w:r>
    </w:p>
    <w:p w:rsidR="00457CC1" w:rsidRPr="0041254F" w:rsidRDefault="00457CC1" w:rsidP="00457CC1">
      <w:pPr>
        <w:keepNext/>
        <w:suppressAutoHyphens/>
        <w:overflowPunct w:val="0"/>
        <w:autoSpaceDE w:val="0"/>
        <w:jc w:val="center"/>
        <w:rPr>
          <w:bCs/>
          <w:sz w:val="22"/>
          <w:szCs w:val="22"/>
          <w:lang w:eastAsia="ar-SA"/>
        </w:rPr>
      </w:pPr>
      <w:r w:rsidRPr="0041254F">
        <w:rPr>
          <w:noProof/>
          <w:sz w:val="22"/>
          <w:szCs w:val="22"/>
        </w:rPr>
        <w:drawing>
          <wp:inline distT="0" distB="0" distL="0" distR="0" wp14:anchorId="166E9B47" wp14:editId="2C47BB7A">
            <wp:extent cx="4267200" cy="1289050"/>
            <wp:effectExtent l="19050" t="0" r="0" b="0"/>
            <wp:docPr id="43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28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*) „ Długość odcinka, km ”-  przyjmujemy   zbiorczą   długość     wszystkich odcinków    dróg , na których wykonano oznakowanie poziome,  w danej części, danego Rejonu..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W przypadku wykonywania dodatkowych badań szorstkości, wartość wskaźnika szorstkości zaleca się oznaczyć w 2 – 4 punktach oznakowania odcinka.</w:t>
      </w:r>
    </w:p>
    <w:p w:rsidR="00457CC1" w:rsidRPr="00214BB8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10"/>
          <w:szCs w:val="10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Zbiorcze zestawienie wymagań dla materiałów i </w:t>
      </w:r>
      <w:proofErr w:type="spellStart"/>
      <w:r w:rsidRPr="0041254F">
        <w:rPr>
          <w:sz w:val="22"/>
          <w:szCs w:val="22"/>
          <w:lang w:eastAsia="ar-SA"/>
        </w:rPr>
        <w:t>oznakowań</w:t>
      </w:r>
      <w:proofErr w:type="spellEnd"/>
      <w:r w:rsidRPr="0041254F">
        <w:rPr>
          <w:sz w:val="22"/>
          <w:szCs w:val="22"/>
          <w:lang w:eastAsia="ar-SA"/>
        </w:rPr>
        <w:t xml:space="preserve">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W tablicy 3 podano zbiorcze zestawienie dla materiałów. W tablicy 4 podano zbiorcze zestawienie dla </w:t>
      </w:r>
      <w:proofErr w:type="spellStart"/>
      <w:r w:rsidRPr="0041254F">
        <w:rPr>
          <w:sz w:val="22"/>
          <w:szCs w:val="22"/>
          <w:lang w:eastAsia="ar-SA"/>
        </w:rPr>
        <w:t>oznakowań</w:t>
      </w:r>
      <w:proofErr w:type="spellEnd"/>
      <w:r w:rsidRPr="0041254F">
        <w:rPr>
          <w:sz w:val="22"/>
          <w:szCs w:val="22"/>
          <w:lang w:eastAsia="ar-SA"/>
        </w:rPr>
        <w:t xml:space="preserve"> na autostradach, drogach ekspresowych oraz na drogach dwujezdniowych o prędkości ≥ 100 km/h lub jednojezdniowych czteropasowych o natężeniu ruchu &gt; 10.000 pojazdów rzeczywistych na dobę . W tablicy 5 podano zbiorcze zestawienie dla </w:t>
      </w:r>
      <w:proofErr w:type="spellStart"/>
      <w:r w:rsidRPr="0041254F">
        <w:rPr>
          <w:sz w:val="22"/>
          <w:szCs w:val="22"/>
          <w:lang w:eastAsia="ar-SA"/>
        </w:rPr>
        <w:t>oznakowań</w:t>
      </w:r>
      <w:proofErr w:type="spellEnd"/>
      <w:r w:rsidRPr="0041254F">
        <w:rPr>
          <w:sz w:val="22"/>
          <w:szCs w:val="22"/>
          <w:lang w:eastAsia="ar-SA"/>
        </w:rPr>
        <w:t xml:space="preserve"> na pozostałych drogach.</w:t>
      </w:r>
    </w:p>
    <w:p w:rsidR="00457CC1" w:rsidRDefault="00457CC1" w:rsidP="00457CC1">
      <w:pPr>
        <w:widowControl w:val="0"/>
        <w:suppressAutoHyphens/>
        <w:overflowPunct w:val="0"/>
        <w:autoSpaceDE w:val="0"/>
        <w:jc w:val="center"/>
        <w:rPr>
          <w:bCs/>
          <w:sz w:val="22"/>
          <w:szCs w:val="22"/>
          <w:lang w:eastAsia="ar-SA"/>
        </w:rPr>
      </w:pPr>
    </w:p>
    <w:p w:rsidR="00457CC1" w:rsidRPr="0041254F" w:rsidRDefault="00457CC1" w:rsidP="00457CC1">
      <w:pPr>
        <w:widowControl w:val="0"/>
        <w:suppressAutoHyphens/>
        <w:overflowPunct w:val="0"/>
        <w:autoSpaceDE w:val="0"/>
        <w:jc w:val="center"/>
        <w:rPr>
          <w:bCs/>
          <w:sz w:val="22"/>
          <w:szCs w:val="22"/>
          <w:lang w:eastAsia="ar-SA"/>
        </w:rPr>
      </w:pPr>
      <w:r w:rsidRPr="0041254F">
        <w:rPr>
          <w:bCs/>
          <w:sz w:val="22"/>
          <w:szCs w:val="22"/>
          <w:lang w:eastAsia="ar-SA"/>
        </w:rPr>
        <w:t>Tablica 3.   Zbiorcze zestawienie wymagań dla materia</w:t>
      </w:r>
      <w:r w:rsidR="009D55F9">
        <w:rPr>
          <w:bCs/>
          <w:sz w:val="22"/>
          <w:szCs w:val="22"/>
          <w:lang w:eastAsia="ar-SA"/>
        </w:rPr>
        <w:t>łów</w:t>
      </w:r>
      <w:r w:rsidRPr="0041254F">
        <w:rPr>
          <w:noProof/>
          <w:sz w:val="22"/>
          <w:szCs w:val="22"/>
        </w:rPr>
        <w:lastRenderedPageBreak/>
        <w:drawing>
          <wp:inline distT="0" distB="0" distL="0" distR="0" wp14:anchorId="56EFF223" wp14:editId="4E29191B">
            <wp:extent cx="4832350" cy="1717803"/>
            <wp:effectExtent l="0" t="0" r="6350" b="0"/>
            <wp:docPr id="44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0" cy="1717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CC1" w:rsidRPr="0041254F" w:rsidRDefault="00457CC1" w:rsidP="00457CC1">
      <w:pPr>
        <w:keepNext/>
        <w:suppressAutoHyphens/>
        <w:overflowPunct w:val="0"/>
        <w:autoSpaceDE w:val="0"/>
        <w:jc w:val="center"/>
        <w:rPr>
          <w:bCs/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suppressAutoHyphens/>
        <w:overflowPunct w:val="0"/>
        <w:autoSpaceDE w:val="0"/>
        <w:jc w:val="center"/>
        <w:rPr>
          <w:bCs/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suppressAutoHyphens/>
        <w:overflowPunct w:val="0"/>
        <w:autoSpaceDE w:val="0"/>
        <w:jc w:val="center"/>
        <w:rPr>
          <w:bCs/>
          <w:sz w:val="22"/>
          <w:szCs w:val="22"/>
          <w:lang w:eastAsia="ar-SA"/>
        </w:rPr>
      </w:pPr>
      <w:r w:rsidRPr="0041254F">
        <w:rPr>
          <w:bCs/>
          <w:sz w:val="22"/>
          <w:szCs w:val="22"/>
          <w:lang w:eastAsia="ar-SA"/>
        </w:rPr>
        <w:t xml:space="preserve">Tablica 4. Zbiorcze  zestawienie  wymagań  dla  </w:t>
      </w:r>
      <w:proofErr w:type="spellStart"/>
      <w:r w:rsidRPr="0041254F">
        <w:rPr>
          <w:bCs/>
          <w:sz w:val="22"/>
          <w:szCs w:val="22"/>
          <w:lang w:eastAsia="ar-SA"/>
        </w:rPr>
        <w:t>oznakowań</w:t>
      </w:r>
      <w:proofErr w:type="spellEnd"/>
      <w:r w:rsidRPr="0041254F">
        <w:rPr>
          <w:bCs/>
          <w:sz w:val="22"/>
          <w:szCs w:val="22"/>
          <w:lang w:eastAsia="ar-SA"/>
        </w:rPr>
        <w:t xml:space="preserve">  na  autostradach,  drogach  ekspresowych  oraz  na drogach dwujezdniowych o prędkości  ≥  100 km/h lub jednojezdniowych  czteropasowych o natężeniu ruchu &gt;   10.000 pojazdów rzeczywistych na dobę  </w:t>
      </w:r>
    </w:p>
    <w:p w:rsidR="00457CC1" w:rsidRPr="0041254F" w:rsidRDefault="00457CC1" w:rsidP="00457CC1">
      <w:pPr>
        <w:keepNext/>
        <w:suppressAutoHyphens/>
        <w:overflowPunct w:val="0"/>
        <w:autoSpaceDE w:val="0"/>
        <w:jc w:val="center"/>
        <w:rPr>
          <w:bCs/>
          <w:sz w:val="22"/>
          <w:szCs w:val="22"/>
          <w:lang w:eastAsia="ar-SA"/>
        </w:rPr>
      </w:pPr>
    </w:p>
    <w:p w:rsidR="00F03254" w:rsidRPr="004D205C" w:rsidRDefault="00F03254" w:rsidP="00F03254">
      <w:pPr>
        <w:spacing w:before="120" w:after="120"/>
      </w:pPr>
      <w:r w:rsidRPr="004D205C">
        <w:rPr>
          <w:b/>
        </w:rPr>
        <w:t xml:space="preserve">Tablica </w:t>
      </w:r>
      <w:r>
        <w:rPr>
          <w:b/>
        </w:rPr>
        <w:t>4</w:t>
      </w:r>
      <w:r w:rsidRPr="004D205C">
        <w:t xml:space="preserve">.  Zbiorcze zestawienie wymagań dla </w:t>
      </w:r>
      <w:proofErr w:type="spellStart"/>
      <w:r w:rsidRPr="004D205C">
        <w:t>oznakowań</w:t>
      </w:r>
      <w:proofErr w:type="spellEnd"/>
      <w:r w:rsidRPr="004D205C">
        <w:t xml:space="preserve"> </w:t>
      </w:r>
    </w:p>
    <w:tbl>
      <w:tblPr>
        <w:tblW w:w="90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5244"/>
        <w:gridCol w:w="1134"/>
        <w:gridCol w:w="1300"/>
        <w:gridCol w:w="924"/>
      </w:tblGrid>
      <w:tr w:rsidR="00F03254" w:rsidRPr="00F03254" w:rsidTr="00F03254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F03254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F03254">
              <w:rPr>
                <w:bCs/>
                <w:sz w:val="20"/>
                <w:szCs w:val="20"/>
              </w:rPr>
              <w:t>Właściwość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F03254">
              <w:rPr>
                <w:bCs/>
                <w:sz w:val="20"/>
                <w:szCs w:val="20"/>
              </w:rPr>
              <w:t xml:space="preserve">Jednostka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F03254">
              <w:rPr>
                <w:bCs/>
                <w:sz w:val="20"/>
                <w:szCs w:val="20"/>
              </w:rPr>
              <w:t>Wymagania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F03254">
              <w:rPr>
                <w:bCs/>
                <w:sz w:val="20"/>
                <w:szCs w:val="20"/>
              </w:rPr>
              <w:t>Klasa</w:t>
            </w:r>
          </w:p>
        </w:tc>
      </w:tr>
      <w:tr w:rsidR="00F03254" w:rsidRPr="00F03254" w:rsidTr="0067144B">
        <w:trPr>
          <w:cantSplit/>
          <w:trHeight w:val="70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Współczynnik odblasku R</w:t>
            </w:r>
            <w:r w:rsidRPr="00F03254">
              <w:rPr>
                <w:sz w:val="20"/>
                <w:szCs w:val="20"/>
                <w:vertAlign w:val="subscript"/>
              </w:rPr>
              <w:t>L</w:t>
            </w:r>
            <w:r w:rsidRPr="00F03254">
              <w:rPr>
                <w:sz w:val="20"/>
                <w:szCs w:val="20"/>
              </w:rPr>
              <w:t xml:space="preserve"> dla oznakowania nowego (w ciągu 14 - 30 dni po wykonaniu) w stanie suchym barwy: </w:t>
            </w:r>
          </w:p>
          <w:p w:rsidR="00F03254" w:rsidRPr="00F03254" w:rsidRDefault="00F03254" w:rsidP="00F03254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ind w:left="355" w:firstLine="0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</w:t>
            </w:r>
          </w:p>
          <w:p w:rsidR="00F03254" w:rsidRPr="00F03254" w:rsidRDefault="00F03254" w:rsidP="00F03254">
            <w:pPr>
              <w:overflowPunct w:val="0"/>
              <w:autoSpaceDE w:val="0"/>
              <w:autoSpaceDN w:val="0"/>
              <w:adjustRightInd w:val="0"/>
              <w:ind w:left="35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67144B" w:rsidRDefault="00F03254" w:rsidP="0067144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03254">
              <w:rPr>
                <w:sz w:val="20"/>
                <w:szCs w:val="20"/>
              </w:rPr>
              <w:t>mcd m</w:t>
            </w:r>
            <w:r w:rsidRPr="00F03254">
              <w:rPr>
                <w:sz w:val="20"/>
                <w:szCs w:val="20"/>
                <w:vertAlign w:val="superscript"/>
              </w:rPr>
              <w:t>-2</w:t>
            </w:r>
            <w:r w:rsidRPr="00F03254">
              <w:rPr>
                <w:sz w:val="20"/>
                <w:szCs w:val="20"/>
              </w:rPr>
              <w:t xml:space="preserve"> lx</w:t>
            </w:r>
            <w:r w:rsidR="0067144B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67144B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="0067144B">
              <w:rPr>
                <w:sz w:val="20"/>
                <w:szCs w:val="20"/>
              </w:rPr>
              <w:t xml:space="preserve"> 250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67144B" w:rsidP="006714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R4/5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2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Współczynnik odblasku R</w:t>
            </w:r>
            <w:r w:rsidRPr="00F03254">
              <w:rPr>
                <w:sz w:val="20"/>
                <w:szCs w:val="20"/>
                <w:vertAlign w:val="subscript"/>
              </w:rPr>
              <w:t>L</w:t>
            </w:r>
            <w:r w:rsidRPr="00F03254">
              <w:rPr>
                <w:sz w:val="20"/>
                <w:szCs w:val="20"/>
              </w:rPr>
              <w:t xml:space="preserve"> dla oznakowania suchego w okresie od 1 do 6 miesięcy po wykonaniu, barwy: </w:t>
            </w:r>
          </w:p>
          <w:p w:rsidR="00F03254" w:rsidRPr="00F03254" w:rsidRDefault="00F03254" w:rsidP="00F03254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355" w:firstLine="0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</w:t>
            </w:r>
          </w:p>
          <w:p w:rsidR="00F03254" w:rsidRPr="00F03254" w:rsidRDefault="00F03254" w:rsidP="0067144B">
            <w:pPr>
              <w:overflowPunct w:val="0"/>
              <w:autoSpaceDE w:val="0"/>
              <w:autoSpaceDN w:val="0"/>
              <w:adjustRightInd w:val="0"/>
              <w:ind w:left="35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67144B" w:rsidRDefault="00F03254" w:rsidP="0067144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03254">
              <w:rPr>
                <w:sz w:val="20"/>
                <w:szCs w:val="20"/>
              </w:rPr>
              <w:t>mcd m</w:t>
            </w:r>
            <w:r w:rsidRPr="00F03254">
              <w:rPr>
                <w:sz w:val="20"/>
                <w:szCs w:val="20"/>
                <w:vertAlign w:val="superscript"/>
              </w:rPr>
              <w:t>-2</w:t>
            </w:r>
            <w:r w:rsidRPr="00F03254">
              <w:rPr>
                <w:sz w:val="20"/>
                <w:szCs w:val="20"/>
              </w:rPr>
              <w:t xml:space="preserve"> lx</w:t>
            </w:r>
            <w:r w:rsidR="0067144B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67144B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="0067144B">
              <w:rPr>
                <w:sz w:val="20"/>
                <w:szCs w:val="20"/>
              </w:rPr>
              <w:t xml:space="preserve"> 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5B1590" w:rsidP="005B15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R4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3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Współczynnik odblasku R</w:t>
            </w:r>
            <w:r w:rsidRPr="00F03254">
              <w:rPr>
                <w:sz w:val="20"/>
                <w:szCs w:val="20"/>
                <w:vertAlign w:val="subscript"/>
              </w:rPr>
              <w:t>L</w:t>
            </w:r>
            <w:r w:rsidRPr="00F03254">
              <w:rPr>
                <w:sz w:val="20"/>
                <w:szCs w:val="20"/>
              </w:rPr>
              <w:t xml:space="preserve"> dla oznakowania suchego od 7 miesiąca po wykonaniu barwy białej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mcd m</w:t>
            </w:r>
            <w:r w:rsidRPr="00F03254">
              <w:rPr>
                <w:sz w:val="20"/>
                <w:szCs w:val="20"/>
                <w:vertAlign w:val="superscript"/>
              </w:rPr>
              <w:t>-2</w:t>
            </w:r>
            <w:r w:rsidRPr="00F03254">
              <w:rPr>
                <w:sz w:val="20"/>
                <w:szCs w:val="20"/>
              </w:rPr>
              <w:t xml:space="preserve"> lx</w:t>
            </w:r>
            <w:r w:rsidRPr="00F03254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Pr="00F03254">
              <w:rPr>
                <w:sz w:val="20"/>
                <w:szCs w:val="20"/>
              </w:rPr>
              <w:t xml:space="preserve"> 150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R3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4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 xml:space="preserve">Współczynnik luminancji </w:t>
            </w:r>
            <w:r w:rsidRPr="00F03254">
              <w:rPr>
                <w:sz w:val="20"/>
                <w:szCs w:val="20"/>
              </w:rPr>
              <w:sym w:font="Symbol" w:char="F062"/>
            </w:r>
            <w:r w:rsidRPr="00F03254">
              <w:rPr>
                <w:sz w:val="20"/>
                <w:szCs w:val="20"/>
              </w:rPr>
              <w:t xml:space="preserve"> dla oznakowania nowego (od 14 do 30 dnia po wykonaniu)  barwy:</w:t>
            </w:r>
          </w:p>
          <w:p w:rsidR="00F03254" w:rsidRPr="00F03254" w:rsidRDefault="00F03254" w:rsidP="00F0325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 na nawierzchni asfaltowej</w:t>
            </w:r>
          </w:p>
          <w:p w:rsidR="00F03254" w:rsidRPr="00F03254" w:rsidRDefault="00F03254" w:rsidP="00F0325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 na nawierzchni betonowej</w:t>
            </w:r>
          </w:p>
          <w:p w:rsidR="00F03254" w:rsidRPr="00F03254" w:rsidRDefault="00F03254" w:rsidP="0067144B">
            <w:pPr>
              <w:overflowPunct w:val="0"/>
              <w:autoSpaceDE w:val="0"/>
              <w:autoSpaceDN w:val="0"/>
              <w:adjustRightInd w:val="0"/>
              <w:ind w:left="283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-</w:t>
            </w:r>
          </w:p>
          <w:p w:rsidR="00F03254" w:rsidRPr="00F03254" w:rsidRDefault="0067144B" w:rsidP="006714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Pr="00F03254">
              <w:rPr>
                <w:sz w:val="20"/>
                <w:szCs w:val="20"/>
              </w:rPr>
              <w:t xml:space="preserve"> 0,40</w:t>
            </w:r>
          </w:p>
          <w:p w:rsidR="00F03254" w:rsidRPr="00F03254" w:rsidRDefault="00F03254" w:rsidP="0067144B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="0067144B">
              <w:rPr>
                <w:sz w:val="20"/>
                <w:szCs w:val="20"/>
              </w:rPr>
              <w:t xml:space="preserve"> 0,50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B3</w:t>
            </w:r>
          </w:p>
          <w:p w:rsidR="00F03254" w:rsidRPr="00F03254" w:rsidRDefault="0067144B" w:rsidP="006714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5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 xml:space="preserve">Współczynnik luminancji </w:t>
            </w:r>
            <w:r w:rsidRPr="00F03254">
              <w:rPr>
                <w:sz w:val="20"/>
                <w:szCs w:val="20"/>
              </w:rPr>
              <w:sym w:font="Symbol" w:char="F062"/>
            </w:r>
            <w:r w:rsidRPr="00F03254">
              <w:rPr>
                <w:sz w:val="20"/>
                <w:szCs w:val="20"/>
              </w:rPr>
              <w:t xml:space="preserve"> dla oznakowania eksploatowanego (po 30 dniu od wykonania) barwy:</w:t>
            </w:r>
          </w:p>
          <w:p w:rsidR="00F03254" w:rsidRPr="00F03254" w:rsidRDefault="00F03254" w:rsidP="00F03254">
            <w:pPr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- białej na nawierzchni asfaltowej</w:t>
            </w:r>
          </w:p>
          <w:p w:rsidR="00F03254" w:rsidRPr="00F03254" w:rsidRDefault="00F03254" w:rsidP="005B1590">
            <w:pPr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- białej na nawierzchni betonowej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-</w:t>
            </w:r>
          </w:p>
          <w:p w:rsidR="00F03254" w:rsidRPr="00F03254" w:rsidRDefault="0067144B" w:rsidP="006714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Pr="00F03254">
              <w:rPr>
                <w:sz w:val="20"/>
                <w:szCs w:val="20"/>
              </w:rPr>
              <w:t xml:space="preserve"> 0,30</w:t>
            </w:r>
          </w:p>
          <w:p w:rsidR="00F03254" w:rsidRPr="00F03254" w:rsidRDefault="00F03254" w:rsidP="0067144B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="0067144B">
              <w:rPr>
                <w:sz w:val="20"/>
                <w:szCs w:val="20"/>
              </w:rPr>
              <w:t xml:space="preserve"> 0,40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B2</w:t>
            </w:r>
          </w:p>
          <w:p w:rsidR="00F03254" w:rsidRPr="00F03254" w:rsidRDefault="0067144B" w:rsidP="006714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6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 xml:space="preserve">Współczynnik luminancji w świetle rozproszonym </w:t>
            </w:r>
            <w:proofErr w:type="spellStart"/>
            <w:r w:rsidRPr="00F03254">
              <w:rPr>
                <w:sz w:val="20"/>
                <w:szCs w:val="20"/>
              </w:rPr>
              <w:t>Qd</w:t>
            </w:r>
            <w:proofErr w:type="spellEnd"/>
            <w:r w:rsidRPr="00F03254">
              <w:rPr>
                <w:sz w:val="20"/>
                <w:szCs w:val="20"/>
              </w:rPr>
              <w:t xml:space="preserve"> (alternatywnie do </w:t>
            </w:r>
            <w:r w:rsidRPr="00F03254">
              <w:rPr>
                <w:sz w:val="20"/>
                <w:szCs w:val="20"/>
              </w:rPr>
              <w:sym w:font="Symbol" w:char="F062"/>
            </w:r>
            <w:r w:rsidRPr="00F03254">
              <w:rPr>
                <w:sz w:val="20"/>
                <w:szCs w:val="20"/>
              </w:rPr>
              <w:t>) dla oznakowania nowego w ciągu od 14 do 30  dnia po wykonaniu, barwy:</w:t>
            </w:r>
          </w:p>
          <w:p w:rsidR="00F03254" w:rsidRPr="00F03254" w:rsidRDefault="00F03254" w:rsidP="00F03254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 na nawierzchni asfaltowej</w:t>
            </w:r>
          </w:p>
          <w:p w:rsidR="00F03254" w:rsidRPr="00F03254" w:rsidRDefault="00F03254" w:rsidP="00F03254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 na nawierzchni betonowej</w:t>
            </w:r>
          </w:p>
          <w:p w:rsidR="00F03254" w:rsidRPr="00F03254" w:rsidRDefault="00F03254" w:rsidP="0067144B">
            <w:pPr>
              <w:overflowPunct w:val="0"/>
              <w:autoSpaceDE w:val="0"/>
              <w:autoSpaceDN w:val="0"/>
              <w:adjustRightInd w:val="0"/>
              <w:ind w:left="283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03254">
              <w:rPr>
                <w:sz w:val="20"/>
                <w:szCs w:val="20"/>
              </w:rPr>
              <w:t>mcd m</w:t>
            </w:r>
            <w:r w:rsidRPr="00F03254">
              <w:rPr>
                <w:sz w:val="20"/>
                <w:szCs w:val="20"/>
                <w:vertAlign w:val="superscript"/>
              </w:rPr>
              <w:t>-2</w:t>
            </w:r>
            <w:r w:rsidRPr="00F03254">
              <w:rPr>
                <w:sz w:val="20"/>
                <w:szCs w:val="20"/>
              </w:rPr>
              <w:t xml:space="preserve"> lx</w:t>
            </w:r>
            <w:r w:rsidRPr="00F03254">
              <w:rPr>
                <w:sz w:val="20"/>
                <w:szCs w:val="20"/>
                <w:vertAlign w:val="superscript"/>
              </w:rPr>
              <w:t>-1</w:t>
            </w:r>
          </w:p>
          <w:p w:rsidR="00F03254" w:rsidRPr="005B1590" w:rsidRDefault="00F03254" w:rsidP="005B1590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03254">
              <w:rPr>
                <w:sz w:val="20"/>
                <w:szCs w:val="20"/>
              </w:rPr>
              <w:t>mcd m</w:t>
            </w:r>
            <w:r w:rsidRPr="00F03254">
              <w:rPr>
                <w:sz w:val="20"/>
                <w:szCs w:val="20"/>
                <w:vertAlign w:val="superscript"/>
              </w:rPr>
              <w:t>-2</w:t>
            </w:r>
            <w:r w:rsidRPr="00F03254">
              <w:rPr>
                <w:sz w:val="20"/>
                <w:szCs w:val="20"/>
              </w:rPr>
              <w:t xml:space="preserve"> lx</w:t>
            </w:r>
            <w:r w:rsidR="005B1590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lang w:val="en-US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Pr="00F03254">
              <w:rPr>
                <w:sz w:val="20"/>
                <w:szCs w:val="20"/>
                <w:lang w:val="en-US"/>
              </w:rPr>
              <w:t xml:space="preserve"> 130</w:t>
            </w:r>
          </w:p>
          <w:p w:rsidR="00F03254" w:rsidRPr="00F03254" w:rsidRDefault="00F03254" w:rsidP="005B1590">
            <w:pPr>
              <w:jc w:val="center"/>
              <w:rPr>
                <w:sz w:val="20"/>
                <w:szCs w:val="20"/>
                <w:lang w:val="en-US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="005B1590">
              <w:rPr>
                <w:sz w:val="20"/>
                <w:szCs w:val="20"/>
                <w:lang w:val="en-US"/>
              </w:rPr>
              <w:t xml:space="preserve"> 160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lang w:val="en-US"/>
              </w:rPr>
            </w:pPr>
            <w:r w:rsidRPr="00F03254">
              <w:rPr>
                <w:sz w:val="20"/>
                <w:szCs w:val="20"/>
                <w:lang w:val="en-US"/>
              </w:rPr>
              <w:t>Q3</w:t>
            </w:r>
          </w:p>
          <w:p w:rsidR="00F03254" w:rsidRPr="00F03254" w:rsidRDefault="005B1590" w:rsidP="005B159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Q4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7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 xml:space="preserve">Współczynnik luminancji w świetle rozproszonym </w:t>
            </w:r>
            <w:proofErr w:type="spellStart"/>
            <w:r w:rsidRPr="00F03254">
              <w:rPr>
                <w:sz w:val="20"/>
                <w:szCs w:val="20"/>
              </w:rPr>
              <w:t>Qd</w:t>
            </w:r>
            <w:proofErr w:type="spellEnd"/>
            <w:r w:rsidRPr="00F03254">
              <w:rPr>
                <w:sz w:val="20"/>
                <w:szCs w:val="20"/>
              </w:rPr>
              <w:t xml:space="preserve"> (alternatywnie do </w:t>
            </w:r>
            <w:r w:rsidRPr="00F03254">
              <w:rPr>
                <w:sz w:val="20"/>
                <w:szCs w:val="20"/>
              </w:rPr>
              <w:sym w:font="Symbol" w:char="F062"/>
            </w:r>
            <w:r w:rsidRPr="00F03254">
              <w:rPr>
                <w:sz w:val="20"/>
                <w:szCs w:val="20"/>
              </w:rPr>
              <w:t>) dla oznakowania eksploatowanego w ciągu całego okresu eksploatacji po 30 dniu od wykonania, barwy:</w:t>
            </w:r>
          </w:p>
          <w:p w:rsidR="00F03254" w:rsidRPr="00F03254" w:rsidRDefault="00F03254" w:rsidP="00F0325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 na nawierzchni asfaltowej</w:t>
            </w:r>
          </w:p>
          <w:p w:rsidR="00F03254" w:rsidRPr="00F03254" w:rsidRDefault="00F03254" w:rsidP="00F0325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 na nawierzchni betonowej</w:t>
            </w:r>
          </w:p>
          <w:p w:rsidR="00F03254" w:rsidRPr="00F03254" w:rsidRDefault="00F03254" w:rsidP="0067144B">
            <w:pPr>
              <w:overflowPunct w:val="0"/>
              <w:autoSpaceDE w:val="0"/>
              <w:autoSpaceDN w:val="0"/>
              <w:adjustRightInd w:val="0"/>
              <w:ind w:left="283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03254">
              <w:rPr>
                <w:sz w:val="20"/>
                <w:szCs w:val="20"/>
              </w:rPr>
              <w:t>mcd m</w:t>
            </w:r>
            <w:r w:rsidRPr="00F03254">
              <w:rPr>
                <w:sz w:val="20"/>
                <w:szCs w:val="20"/>
                <w:vertAlign w:val="superscript"/>
              </w:rPr>
              <w:t>-2</w:t>
            </w:r>
            <w:r w:rsidRPr="00F03254">
              <w:rPr>
                <w:sz w:val="20"/>
                <w:szCs w:val="20"/>
              </w:rPr>
              <w:t xml:space="preserve"> lx</w:t>
            </w:r>
            <w:r w:rsidRPr="00F03254">
              <w:rPr>
                <w:sz w:val="20"/>
                <w:szCs w:val="20"/>
                <w:vertAlign w:val="superscript"/>
              </w:rPr>
              <w:t>-1</w:t>
            </w:r>
          </w:p>
          <w:p w:rsidR="00F03254" w:rsidRPr="005B1590" w:rsidRDefault="00F03254" w:rsidP="005B1590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03254">
              <w:rPr>
                <w:sz w:val="20"/>
                <w:szCs w:val="20"/>
              </w:rPr>
              <w:t>mcd m</w:t>
            </w:r>
            <w:r w:rsidRPr="00F03254">
              <w:rPr>
                <w:sz w:val="20"/>
                <w:szCs w:val="20"/>
                <w:vertAlign w:val="superscript"/>
              </w:rPr>
              <w:t>-2</w:t>
            </w:r>
            <w:r w:rsidRPr="00F03254">
              <w:rPr>
                <w:sz w:val="20"/>
                <w:szCs w:val="20"/>
              </w:rPr>
              <w:t xml:space="preserve"> lx</w:t>
            </w:r>
            <w:r w:rsidR="005B1590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lang w:val="en-US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Pr="00F03254">
              <w:rPr>
                <w:sz w:val="20"/>
                <w:szCs w:val="20"/>
                <w:lang w:val="en-US"/>
              </w:rPr>
              <w:t xml:space="preserve"> 100</w:t>
            </w:r>
          </w:p>
          <w:p w:rsidR="00F03254" w:rsidRPr="00F03254" w:rsidRDefault="00F03254" w:rsidP="005B1590">
            <w:pPr>
              <w:jc w:val="center"/>
              <w:rPr>
                <w:sz w:val="20"/>
                <w:szCs w:val="20"/>
                <w:lang w:val="en-US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="005B1590">
              <w:rPr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lang w:val="en-US"/>
              </w:rPr>
            </w:pPr>
            <w:r w:rsidRPr="00F03254">
              <w:rPr>
                <w:sz w:val="20"/>
                <w:szCs w:val="20"/>
                <w:lang w:val="en-US"/>
              </w:rPr>
              <w:t>Q2</w:t>
            </w:r>
          </w:p>
          <w:p w:rsidR="00F03254" w:rsidRPr="00F03254" w:rsidRDefault="005B1590" w:rsidP="005B159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Q3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8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Szorstkość oznakowania eksploatowanego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wskaźnik</w:t>
            </w: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SRT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Pr="00F03254">
              <w:rPr>
                <w:sz w:val="20"/>
                <w:szCs w:val="20"/>
              </w:rPr>
              <w:t xml:space="preserve"> 45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S1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9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Trwałość oznakowania cienkowarstwowego po 12 miesiącach: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skala LCPC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Pr="00F03254">
              <w:rPr>
                <w:sz w:val="20"/>
                <w:szCs w:val="20"/>
              </w:rPr>
              <w:t xml:space="preserve"> 6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-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10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Czas schnięcia materiału na nawierzchni</w:t>
            </w:r>
          </w:p>
          <w:p w:rsidR="00F03254" w:rsidRPr="00F03254" w:rsidRDefault="00F03254" w:rsidP="00F03254">
            <w:pPr>
              <w:numPr>
                <w:ilvl w:val="0"/>
                <w:numId w:val="10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ind w:left="355" w:firstLine="0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w dzień</w:t>
            </w:r>
          </w:p>
          <w:p w:rsidR="00F03254" w:rsidRPr="00F03254" w:rsidRDefault="00F03254" w:rsidP="00F03254">
            <w:pPr>
              <w:numPr>
                <w:ilvl w:val="0"/>
                <w:numId w:val="10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ind w:left="355" w:firstLine="0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w nocy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h</w:t>
            </w: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h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A3"/>
            </w:r>
            <w:r w:rsidRPr="00F03254">
              <w:rPr>
                <w:sz w:val="20"/>
                <w:szCs w:val="20"/>
              </w:rPr>
              <w:t xml:space="preserve"> 1</w:t>
            </w: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A3"/>
            </w:r>
            <w:r w:rsidRPr="00F03254">
              <w:rPr>
                <w:sz w:val="20"/>
                <w:szCs w:val="20"/>
              </w:rPr>
              <w:t xml:space="preserve"> 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-</w:t>
            </w: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-</w:t>
            </w:r>
          </w:p>
        </w:tc>
      </w:tr>
    </w:tbl>
    <w:p w:rsidR="00F03254" w:rsidRPr="00F03254" w:rsidRDefault="00F03254" w:rsidP="00F03254">
      <w:pPr>
        <w:spacing w:before="120" w:after="120"/>
        <w:rPr>
          <w:sz w:val="20"/>
          <w:szCs w:val="20"/>
        </w:rPr>
      </w:pPr>
    </w:p>
    <w:p w:rsidR="00F03254" w:rsidRPr="00F03254" w:rsidRDefault="00F03254" w:rsidP="00F03254">
      <w:pPr>
        <w:tabs>
          <w:tab w:val="left" w:pos="851"/>
        </w:tabs>
        <w:spacing w:before="120" w:after="120"/>
        <w:ind w:left="851" w:hanging="851"/>
        <w:rPr>
          <w:sz w:val="20"/>
          <w:szCs w:val="20"/>
        </w:rPr>
      </w:pPr>
      <w:r w:rsidRPr="00F03254">
        <w:rPr>
          <w:b/>
          <w:sz w:val="20"/>
          <w:szCs w:val="20"/>
        </w:rPr>
        <w:t>Tablica 5.</w:t>
      </w:r>
      <w:r w:rsidRPr="00F03254">
        <w:rPr>
          <w:sz w:val="20"/>
          <w:szCs w:val="20"/>
        </w:rPr>
        <w:t xml:space="preserve"> Zbiorcze zestawienie wymagań dla </w:t>
      </w:r>
      <w:proofErr w:type="spellStart"/>
      <w:r w:rsidRPr="00F03254">
        <w:rPr>
          <w:sz w:val="20"/>
          <w:szCs w:val="20"/>
        </w:rPr>
        <w:t>oznakowań</w:t>
      </w:r>
      <w:proofErr w:type="spellEnd"/>
      <w:r w:rsidRPr="00F03254">
        <w:rPr>
          <w:sz w:val="20"/>
          <w:szCs w:val="20"/>
        </w:rPr>
        <w:t xml:space="preserve"> na pozostałych drogach</w:t>
      </w:r>
    </w:p>
    <w:tbl>
      <w:tblPr>
        <w:tblW w:w="90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5244"/>
        <w:gridCol w:w="1134"/>
        <w:gridCol w:w="1300"/>
        <w:gridCol w:w="924"/>
      </w:tblGrid>
      <w:tr w:rsidR="00F03254" w:rsidRPr="00F03254" w:rsidTr="00F03254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F03254">
              <w:rPr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F03254">
              <w:rPr>
                <w:bCs/>
                <w:sz w:val="20"/>
                <w:szCs w:val="20"/>
              </w:rPr>
              <w:t>Właściwość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F03254">
              <w:rPr>
                <w:bCs/>
                <w:sz w:val="20"/>
                <w:szCs w:val="20"/>
              </w:rPr>
              <w:t xml:space="preserve">Jednostka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F03254">
              <w:rPr>
                <w:bCs/>
                <w:sz w:val="20"/>
                <w:szCs w:val="20"/>
              </w:rPr>
              <w:t>Wymagania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F03254">
              <w:rPr>
                <w:bCs/>
                <w:sz w:val="20"/>
                <w:szCs w:val="20"/>
              </w:rPr>
              <w:t>Klasa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Współczynnik odblasku R</w:t>
            </w:r>
            <w:r w:rsidRPr="00F03254">
              <w:rPr>
                <w:sz w:val="20"/>
                <w:szCs w:val="20"/>
                <w:vertAlign w:val="subscript"/>
              </w:rPr>
              <w:t>L</w:t>
            </w:r>
            <w:r w:rsidRPr="00F03254">
              <w:rPr>
                <w:sz w:val="20"/>
                <w:szCs w:val="20"/>
              </w:rPr>
              <w:t xml:space="preserve"> dla oznakowania nowego (w ciągu 14 - 30 dni po wykonaniu) w stanie suchym barwy:</w:t>
            </w:r>
          </w:p>
          <w:p w:rsidR="00F03254" w:rsidRPr="0067144B" w:rsidRDefault="00F03254" w:rsidP="0067144B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ind w:left="355"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białej,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67144B" w:rsidRDefault="00F03254" w:rsidP="0067144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03254">
              <w:rPr>
                <w:sz w:val="20"/>
                <w:szCs w:val="20"/>
              </w:rPr>
              <w:t>mcd m</w:t>
            </w:r>
            <w:r w:rsidRPr="00F03254">
              <w:rPr>
                <w:sz w:val="20"/>
                <w:szCs w:val="20"/>
                <w:vertAlign w:val="superscript"/>
              </w:rPr>
              <w:t>-2</w:t>
            </w:r>
            <w:r w:rsidRPr="00F03254">
              <w:rPr>
                <w:sz w:val="20"/>
                <w:szCs w:val="20"/>
              </w:rPr>
              <w:t xml:space="preserve"> lx</w:t>
            </w:r>
            <w:r w:rsidR="0067144B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67144B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="0067144B">
              <w:rPr>
                <w:sz w:val="20"/>
                <w:szCs w:val="20"/>
              </w:rPr>
              <w:t xml:space="preserve"> 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67144B" w:rsidP="006714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R4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2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Współczynnik odblasku R</w:t>
            </w:r>
            <w:r w:rsidRPr="00F03254">
              <w:rPr>
                <w:sz w:val="20"/>
                <w:szCs w:val="20"/>
                <w:vertAlign w:val="subscript"/>
              </w:rPr>
              <w:t>L</w:t>
            </w:r>
            <w:r w:rsidRPr="00F03254">
              <w:rPr>
                <w:sz w:val="20"/>
                <w:szCs w:val="20"/>
              </w:rPr>
              <w:t xml:space="preserve"> dla oznakowania eksploatowanego od 2 do 6 miesięcy po wykonaniu, barwy: </w:t>
            </w:r>
          </w:p>
          <w:p w:rsidR="00F03254" w:rsidRPr="0067144B" w:rsidRDefault="00F03254" w:rsidP="0067144B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355"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białej,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67144B" w:rsidRDefault="00F03254" w:rsidP="0067144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03254">
              <w:rPr>
                <w:sz w:val="20"/>
                <w:szCs w:val="20"/>
              </w:rPr>
              <w:t>mcd m</w:t>
            </w:r>
            <w:r w:rsidRPr="00F03254">
              <w:rPr>
                <w:sz w:val="20"/>
                <w:szCs w:val="20"/>
                <w:vertAlign w:val="superscript"/>
              </w:rPr>
              <w:t>-2</w:t>
            </w:r>
            <w:r w:rsidRPr="00F03254">
              <w:rPr>
                <w:sz w:val="20"/>
                <w:szCs w:val="20"/>
              </w:rPr>
              <w:t xml:space="preserve"> lx</w:t>
            </w:r>
            <w:r w:rsidR="0067144B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67144B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="0067144B">
              <w:rPr>
                <w:sz w:val="20"/>
                <w:szCs w:val="20"/>
              </w:rPr>
              <w:t xml:space="preserve"> 150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67144B" w:rsidP="006714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R3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3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Współczynnik odblasku R</w:t>
            </w:r>
            <w:r w:rsidRPr="00F03254">
              <w:rPr>
                <w:sz w:val="20"/>
                <w:szCs w:val="20"/>
                <w:vertAlign w:val="subscript"/>
              </w:rPr>
              <w:t>L</w:t>
            </w:r>
            <w:r w:rsidRPr="00F03254">
              <w:rPr>
                <w:sz w:val="20"/>
                <w:szCs w:val="20"/>
              </w:rPr>
              <w:t xml:space="preserve"> dla oznakowania suchego od 7 miesiąca po wykonaniu barwy białej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mcd m</w:t>
            </w:r>
            <w:r w:rsidRPr="00F03254">
              <w:rPr>
                <w:sz w:val="20"/>
                <w:szCs w:val="20"/>
                <w:vertAlign w:val="superscript"/>
              </w:rPr>
              <w:t>-2</w:t>
            </w:r>
            <w:r w:rsidRPr="00F03254">
              <w:rPr>
                <w:sz w:val="20"/>
                <w:szCs w:val="20"/>
              </w:rPr>
              <w:t xml:space="preserve"> lx</w:t>
            </w:r>
            <w:r w:rsidRPr="00F03254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Pr="00F03254">
              <w:rPr>
                <w:sz w:val="20"/>
                <w:szCs w:val="20"/>
              </w:rPr>
              <w:t xml:space="preserve"> 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R2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5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 xml:space="preserve">Współczynnik luminancji </w:t>
            </w:r>
            <w:r w:rsidRPr="00F03254">
              <w:rPr>
                <w:sz w:val="20"/>
                <w:szCs w:val="20"/>
              </w:rPr>
              <w:sym w:font="Symbol" w:char="F062"/>
            </w:r>
            <w:r w:rsidRPr="00F03254">
              <w:rPr>
                <w:sz w:val="20"/>
                <w:szCs w:val="20"/>
              </w:rPr>
              <w:t xml:space="preserve"> dla oznakowania nowego (od 14 do 30 dnia po wykonaniu)  barwy:</w:t>
            </w:r>
          </w:p>
          <w:p w:rsidR="00F03254" w:rsidRPr="00F03254" w:rsidRDefault="00F03254" w:rsidP="00F0325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 na nawierzchni asfaltowej,</w:t>
            </w:r>
          </w:p>
          <w:p w:rsidR="00F03254" w:rsidRPr="0067144B" w:rsidRDefault="00F03254" w:rsidP="0067144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 na nawierzchni betonowej,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-</w:t>
            </w:r>
          </w:p>
          <w:p w:rsidR="00F03254" w:rsidRPr="00F03254" w:rsidRDefault="0067144B" w:rsidP="006714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Pr="00F03254">
              <w:rPr>
                <w:sz w:val="20"/>
                <w:szCs w:val="20"/>
              </w:rPr>
              <w:t xml:space="preserve"> 0,40</w:t>
            </w:r>
          </w:p>
          <w:p w:rsidR="00F03254" w:rsidRPr="00F03254" w:rsidRDefault="00F03254" w:rsidP="0067144B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="0067144B">
              <w:rPr>
                <w:sz w:val="20"/>
                <w:szCs w:val="20"/>
              </w:rPr>
              <w:t xml:space="preserve"> 0,50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B3</w:t>
            </w:r>
          </w:p>
          <w:p w:rsidR="00F03254" w:rsidRPr="00F03254" w:rsidRDefault="0067144B" w:rsidP="006714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6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 xml:space="preserve">Współczynnik luminancji </w:t>
            </w:r>
            <w:r w:rsidRPr="00F03254">
              <w:rPr>
                <w:sz w:val="20"/>
                <w:szCs w:val="20"/>
              </w:rPr>
              <w:sym w:font="Symbol" w:char="F062"/>
            </w:r>
            <w:r w:rsidRPr="00F03254">
              <w:rPr>
                <w:sz w:val="20"/>
                <w:szCs w:val="20"/>
              </w:rPr>
              <w:t xml:space="preserve"> dla oznakowania eksploatowanego (po 30 dniu od wykonania) barwy:</w:t>
            </w:r>
          </w:p>
          <w:p w:rsidR="00F03254" w:rsidRPr="00F03254" w:rsidRDefault="00F03254" w:rsidP="0067144B">
            <w:pPr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- białej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67144B" w:rsidP="006714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67144B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Pr="00F03254">
              <w:rPr>
                <w:sz w:val="20"/>
                <w:szCs w:val="20"/>
              </w:rPr>
              <w:t xml:space="preserve"> 0</w:t>
            </w:r>
            <w:r w:rsidR="0067144B">
              <w:rPr>
                <w:sz w:val="20"/>
                <w:szCs w:val="20"/>
              </w:rPr>
              <w:t>,30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67144B" w:rsidP="006714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7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 xml:space="preserve">Współczynnik luminancji w świetle rozproszonym </w:t>
            </w:r>
            <w:proofErr w:type="spellStart"/>
            <w:r w:rsidRPr="00F03254">
              <w:rPr>
                <w:sz w:val="20"/>
                <w:szCs w:val="20"/>
              </w:rPr>
              <w:t>Qd</w:t>
            </w:r>
            <w:proofErr w:type="spellEnd"/>
            <w:r w:rsidRPr="00F03254">
              <w:rPr>
                <w:sz w:val="20"/>
                <w:szCs w:val="20"/>
              </w:rPr>
              <w:t xml:space="preserve"> (alternatywnie do </w:t>
            </w:r>
            <w:r w:rsidRPr="00F03254">
              <w:rPr>
                <w:sz w:val="20"/>
                <w:szCs w:val="20"/>
              </w:rPr>
              <w:sym w:font="Symbol" w:char="F062"/>
            </w:r>
            <w:r w:rsidRPr="00F03254">
              <w:rPr>
                <w:sz w:val="20"/>
                <w:szCs w:val="20"/>
              </w:rPr>
              <w:t>) dla oznakowania nowego w ciągu od 14 do 30 dnia po wykonaniu, barwy:</w:t>
            </w:r>
          </w:p>
          <w:p w:rsidR="00F03254" w:rsidRPr="00F03254" w:rsidRDefault="00F03254" w:rsidP="00F03254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 na nawierzchni asfaltowej</w:t>
            </w:r>
          </w:p>
          <w:p w:rsidR="00F03254" w:rsidRPr="0067144B" w:rsidRDefault="00F03254" w:rsidP="0067144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 na nawierzchni betonowej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03254">
              <w:rPr>
                <w:sz w:val="20"/>
                <w:szCs w:val="20"/>
              </w:rPr>
              <w:t>mcd m</w:t>
            </w:r>
            <w:r w:rsidRPr="00F03254">
              <w:rPr>
                <w:sz w:val="20"/>
                <w:szCs w:val="20"/>
                <w:vertAlign w:val="superscript"/>
              </w:rPr>
              <w:t>-2</w:t>
            </w:r>
            <w:r w:rsidRPr="00F03254">
              <w:rPr>
                <w:sz w:val="20"/>
                <w:szCs w:val="20"/>
              </w:rPr>
              <w:t xml:space="preserve"> lx</w:t>
            </w:r>
            <w:r w:rsidRPr="00F03254">
              <w:rPr>
                <w:sz w:val="20"/>
                <w:szCs w:val="20"/>
                <w:vertAlign w:val="superscript"/>
              </w:rPr>
              <w:t>-1</w:t>
            </w:r>
          </w:p>
          <w:p w:rsidR="00F03254" w:rsidRPr="0067144B" w:rsidRDefault="00F03254" w:rsidP="0067144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03254">
              <w:rPr>
                <w:sz w:val="20"/>
                <w:szCs w:val="20"/>
              </w:rPr>
              <w:t>mcd m</w:t>
            </w:r>
            <w:r w:rsidRPr="00F03254">
              <w:rPr>
                <w:sz w:val="20"/>
                <w:szCs w:val="20"/>
                <w:vertAlign w:val="superscript"/>
              </w:rPr>
              <w:t>-2</w:t>
            </w:r>
            <w:r w:rsidRPr="00F03254">
              <w:rPr>
                <w:sz w:val="20"/>
                <w:szCs w:val="20"/>
              </w:rPr>
              <w:t xml:space="preserve"> lx</w:t>
            </w:r>
            <w:r w:rsidR="0067144B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Pr="00F03254">
              <w:rPr>
                <w:sz w:val="20"/>
                <w:szCs w:val="20"/>
              </w:rPr>
              <w:t xml:space="preserve"> 130</w:t>
            </w:r>
          </w:p>
          <w:p w:rsidR="00F03254" w:rsidRPr="00F03254" w:rsidRDefault="00F03254" w:rsidP="0067144B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="0067144B">
              <w:rPr>
                <w:sz w:val="20"/>
                <w:szCs w:val="20"/>
              </w:rPr>
              <w:t xml:space="preserve"> 160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lang w:val="en-US"/>
              </w:rPr>
            </w:pPr>
            <w:r w:rsidRPr="00F03254">
              <w:rPr>
                <w:sz w:val="20"/>
                <w:szCs w:val="20"/>
                <w:lang w:val="en-US"/>
              </w:rPr>
              <w:t>Q3</w:t>
            </w:r>
          </w:p>
          <w:p w:rsidR="00F03254" w:rsidRPr="00F03254" w:rsidRDefault="0067144B" w:rsidP="0067144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Q4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8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 xml:space="preserve">Współczynnik luminancji w świetle rozproszonym </w:t>
            </w:r>
            <w:proofErr w:type="spellStart"/>
            <w:r w:rsidRPr="00F03254">
              <w:rPr>
                <w:sz w:val="20"/>
                <w:szCs w:val="20"/>
              </w:rPr>
              <w:t>Qd</w:t>
            </w:r>
            <w:proofErr w:type="spellEnd"/>
            <w:r w:rsidRPr="00F03254">
              <w:rPr>
                <w:sz w:val="20"/>
                <w:szCs w:val="20"/>
              </w:rPr>
              <w:t xml:space="preserve"> (alternatywnie do </w:t>
            </w:r>
            <w:r w:rsidRPr="00F03254">
              <w:rPr>
                <w:sz w:val="20"/>
                <w:szCs w:val="20"/>
              </w:rPr>
              <w:sym w:font="Symbol" w:char="F062"/>
            </w:r>
            <w:r w:rsidRPr="00F03254">
              <w:rPr>
                <w:sz w:val="20"/>
                <w:szCs w:val="20"/>
              </w:rPr>
              <w:t>) dla oznakowania eksploatowanego w ciągu całego okresu eksploatacji po 30 dniu od wykonania, barwy:</w:t>
            </w:r>
          </w:p>
          <w:p w:rsidR="00F03254" w:rsidRPr="00F03254" w:rsidRDefault="00F03254" w:rsidP="00F0325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 na nawierzchni asfaltowej</w:t>
            </w:r>
          </w:p>
          <w:p w:rsidR="00F03254" w:rsidRPr="0067144B" w:rsidRDefault="00F03254" w:rsidP="0067144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białej na nawierzchni betonowej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03254">
              <w:rPr>
                <w:sz w:val="20"/>
                <w:szCs w:val="20"/>
              </w:rPr>
              <w:t>mcd m</w:t>
            </w:r>
            <w:r w:rsidRPr="00F03254">
              <w:rPr>
                <w:sz w:val="20"/>
                <w:szCs w:val="20"/>
                <w:vertAlign w:val="superscript"/>
              </w:rPr>
              <w:t>-2</w:t>
            </w:r>
            <w:r w:rsidRPr="00F03254">
              <w:rPr>
                <w:sz w:val="20"/>
                <w:szCs w:val="20"/>
              </w:rPr>
              <w:t xml:space="preserve"> lx</w:t>
            </w:r>
            <w:r w:rsidRPr="00F03254">
              <w:rPr>
                <w:sz w:val="20"/>
                <w:szCs w:val="20"/>
                <w:vertAlign w:val="superscript"/>
              </w:rPr>
              <w:t>-1</w:t>
            </w:r>
          </w:p>
          <w:p w:rsidR="00F03254" w:rsidRPr="0067144B" w:rsidRDefault="00F03254" w:rsidP="0067144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03254">
              <w:rPr>
                <w:sz w:val="20"/>
                <w:szCs w:val="20"/>
              </w:rPr>
              <w:t>mcd m</w:t>
            </w:r>
            <w:r w:rsidRPr="00F03254">
              <w:rPr>
                <w:sz w:val="20"/>
                <w:szCs w:val="20"/>
                <w:vertAlign w:val="superscript"/>
              </w:rPr>
              <w:t>-2</w:t>
            </w:r>
            <w:r w:rsidRPr="00F03254">
              <w:rPr>
                <w:sz w:val="20"/>
                <w:szCs w:val="20"/>
              </w:rPr>
              <w:t xml:space="preserve"> lx</w:t>
            </w:r>
            <w:r w:rsidR="0067144B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Pr="00F03254">
              <w:rPr>
                <w:sz w:val="20"/>
                <w:szCs w:val="20"/>
              </w:rPr>
              <w:t xml:space="preserve"> 100</w:t>
            </w:r>
          </w:p>
          <w:p w:rsidR="00F03254" w:rsidRPr="00F03254" w:rsidRDefault="00F03254" w:rsidP="0067144B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="0067144B">
              <w:rPr>
                <w:sz w:val="20"/>
                <w:szCs w:val="20"/>
              </w:rPr>
              <w:t xml:space="preserve"> 130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  <w:lang w:val="en-US"/>
              </w:rPr>
            </w:pPr>
            <w:r w:rsidRPr="00F03254">
              <w:rPr>
                <w:sz w:val="20"/>
                <w:szCs w:val="20"/>
                <w:lang w:val="en-US"/>
              </w:rPr>
              <w:t>Q2</w:t>
            </w:r>
          </w:p>
          <w:p w:rsidR="00F03254" w:rsidRPr="00F03254" w:rsidRDefault="0067144B" w:rsidP="0067144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Q3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9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Szorstkość oznakowania eksploatowanego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wskaźnik</w:t>
            </w: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SRT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Pr="00F03254">
              <w:rPr>
                <w:sz w:val="20"/>
                <w:szCs w:val="20"/>
              </w:rPr>
              <w:t xml:space="preserve"> 45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S1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10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Trwałość oznakowania cienkowarstwowego po 12 miesiącach: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skala LCPC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B3"/>
            </w:r>
            <w:r w:rsidRPr="00F03254">
              <w:rPr>
                <w:sz w:val="20"/>
                <w:szCs w:val="20"/>
              </w:rPr>
              <w:t xml:space="preserve"> 6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-</w:t>
            </w:r>
          </w:p>
        </w:tc>
      </w:tr>
      <w:tr w:rsidR="00F03254" w:rsidRPr="00F03254" w:rsidTr="00F03254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11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F03254" w:rsidRPr="00F03254" w:rsidRDefault="00F03254" w:rsidP="00F03254">
            <w:pPr>
              <w:ind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Czas schnięcia materiału na nawierzchni</w:t>
            </w:r>
          </w:p>
          <w:p w:rsidR="00F03254" w:rsidRPr="00F03254" w:rsidRDefault="00F03254" w:rsidP="00F03254">
            <w:pPr>
              <w:numPr>
                <w:ilvl w:val="0"/>
                <w:numId w:val="10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ind w:left="355"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w dzień</w:t>
            </w:r>
          </w:p>
          <w:p w:rsidR="00F03254" w:rsidRPr="00F03254" w:rsidRDefault="00F03254" w:rsidP="00F03254">
            <w:pPr>
              <w:numPr>
                <w:ilvl w:val="0"/>
                <w:numId w:val="10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ind w:left="355" w:firstLine="71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w nocy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h</w:t>
            </w: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h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A3"/>
            </w:r>
            <w:r w:rsidRPr="00F03254">
              <w:rPr>
                <w:sz w:val="20"/>
                <w:szCs w:val="20"/>
              </w:rPr>
              <w:t xml:space="preserve"> 1</w:t>
            </w: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sym w:font="Symbol" w:char="F0A3"/>
            </w:r>
            <w:r w:rsidRPr="00F03254">
              <w:rPr>
                <w:sz w:val="20"/>
                <w:szCs w:val="20"/>
              </w:rPr>
              <w:t xml:space="preserve"> 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-</w:t>
            </w:r>
          </w:p>
          <w:p w:rsidR="00F03254" w:rsidRPr="00F03254" w:rsidRDefault="00F03254" w:rsidP="00F03254">
            <w:pPr>
              <w:jc w:val="center"/>
              <w:rPr>
                <w:sz w:val="20"/>
                <w:szCs w:val="20"/>
              </w:rPr>
            </w:pPr>
            <w:r w:rsidRPr="00F03254">
              <w:rPr>
                <w:sz w:val="20"/>
                <w:szCs w:val="20"/>
              </w:rPr>
              <w:t>-</w:t>
            </w:r>
          </w:p>
        </w:tc>
      </w:tr>
    </w:tbl>
    <w:p w:rsidR="009D55F9" w:rsidRDefault="009D55F9" w:rsidP="005B1590">
      <w:pPr>
        <w:keepNext/>
        <w:suppressAutoHyphens/>
        <w:overflowPunct w:val="0"/>
        <w:autoSpaceDE w:val="0"/>
        <w:rPr>
          <w:bCs/>
          <w:sz w:val="22"/>
          <w:szCs w:val="22"/>
          <w:lang w:eastAsia="ar-SA"/>
        </w:rPr>
      </w:pPr>
    </w:p>
    <w:p w:rsidR="00457CC1" w:rsidRPr="0041254F" w:rsidRDefault="00457CC1" w:rsidP="00F03254">
      <w:pPr>
        <w:keepNext/>
        <w:suppressAutoHyphens/>
        <w:overflowPunct w:val="0"/>
        <w:autoSpaceDE w:val="0"/>
        <w:rPr>
          <w:bCs/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Tolerancje wymiarów oznakowania </w:t>
      </w: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Tolerancje nowo wykonanego oznakowania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Tolerancje nowo wykonanego oznakowania poziomego, zgodnego z dokumentacją projektową i załącznikiem nr 2 do rozporządzenia Ministra Infrastruktury z 3.07.2003 r. [7], powinny odpowiadać następującym warunkom: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szerokość linii może różnić się od wymaganej o ± 5 mm,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długość linii może być mniejsza od wymaganej co najwyżej o 50 mm lub większa co najwyżej o 150 mm,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dla linii przerywanych, długość cyklu składającego się z linii i przerwy nie może odbiegać od średniej liczonej z 10 kolejnych cykli o więcej niż ± 50 mm długości wymaganej,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dla strzałek, liter i cyfr rozstaw punktów narożnikowych nie może mieć większej odchyłki od wymaganego wzoru niż ± 50 mm dla wymiaru długości i ± 20 mm dla wymiaru szerokości.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Przy wykonywaniu nowego oznakowania poziomego, spowodowanego zmianami organizacji ruchu, należy dokładnie usunąć zbędne stare oznakowanie.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lastRenderedPageBreak/>
        <w:t xml:space="preserve">Tolerancje przy odnawianiu istniejącego oznakowania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Przy odnawianiu istniejącego oznakowania należy dążyć do pokrycia pełnej powierzchni istniejących znaków, przy zachowaniu dopuszczalnych tolerancji podanych w punkcie 6.4.1.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0"/>
          <w:numId w:val="1"/>
        </w:numPr>
        <w:suppressAutoHyphens/>
        <w:overflowPunct w:val="0"/>
        <w:autoSpaceDE w:val="0"/>
        <w:spacing w:after="240"/>
        <w:jc w:val="both"/>
        <w:outlineLvl w:val="0"/>
        <w:rPr>
          <w:b/>
          <w:sz w:val="22"/>
          <w:szCs w:val="22"/>
          <w:lang w:eastAsia="ar-SA"/>
        </w:rPr>
      </w:pPr>
      <w:r w:rsidRPr="0041254F">
        <w:rPr>
          <w:b/>
          <w:sz w:val="22"/>
          <w:szCs w:val="22"/>
          <w:lang w:eastAsia="ar-SA"/>
        </w:rPr>
        <w:t xml:space="preserve">Obmiar robót 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Ogólne zasady obmiaru robót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Ogólne zasad</w:t>
      </w:r>
      <w:r w:rsidR="001B4625">
        <w:rPr>
          <w:sz w:val="22"/>
          <w:szCs w:val="22"/>
          <w:lang w:eastAsia="ar-SA"/>
        </w:rPr>
        <w:t>y obmiaru robót podano w D</w:t>
      </w:r>
      <w:r w:rsidRPr="0041254F">
        <w:rPr>
          <w:sz w:val="22"/>
          <w:szCs w:val="22"/>
          <w:lang w:eastAsia="ar-SA"/>
        </w:rPr>
        <w:t xml:space="preserve">-00.00.00 „Wymagania ogólne” pkt 7 [16].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Jednostka obmiarowa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Jednostką obmiarową oznakowania poziomego jest m</w:t>
      </w:r>
      <w:r w:rsidRPr="0041254F">
        <w:rPr>
          <w:sz w:val="22"/>
          <w:szCs w:val="22"/>
          <w:vertAlign w:val="superscript"/>
          <w:lang w:eastAsia="ar-SA"/>
        </w:rPr>
        <w:t>2</w:t>
      </w:r>
      <w:r w:rsidRPr="0041254F">
        <w:rPr>
          <w:sz w:val="22"/>
          <w:szCs w:val="22"/>
          <w:lang w:eastAsia="ar-SA"/>
        </w:rPr>
        <w:t xml:space="preserve"> (metr kwadratowy) powierzchni naniesionych </w:t>
      </w:r>
      <w:proofErr w:type="spellStart"/>
      <w:r w:rsidRPr="0041254F">
        <w:rPr>
          <w:sz w:val="22"/>
          <w:szCs w:val="22"/>
          <w:lang w:eastAsia="ar-SA"/>
        </w:rPr>
        <w:t>oznakowań</w:t>
      </w:r>
      <w:proofErr w:type="spellEnd"/>
      <w:r w:rsidRPr="0041254F">
        <w:rPr>
          <w:sz w:val="22"/>
          <w:szCs w:val="22"/>
          <w:lang w:eastAsia="ar-SA"/>
        </w:rPr>
        <w:t xml:space="preserve"> 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0"/>
          <w:numId w:val="1"/>
        </w:numPr>
        <w:suppressAutoHyphens/>
        <w:overflowPunct w:val="0"/>
        <w:autoSpaceDE w:val="0"/>
        <w:spacing w:after="240"/>
        <w:jc w:val="both"/>
        <w:outlineLvl w:val="0"/>
        <w:rPr>
          <w:b/>
          <w:sz w:val="22"/>
          <w:szCs w:val="22"/>
          <w:lang w:eastAsia="ar-SA"/>
        </w:rPr>
      </w:pPr>
      <w:r w:rsidRPr="0041254F">
        <w:rPr>
          <w:b/>
          <w:sz w:val="22"/>
          <w:szCs w:val="22"/>
          <w:lang w:eastAsia="ar-SA"/>
        </w:rPr>
        <w:t xml:space="preserve">Odbiór robót 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Ogólne zasady odbioru robót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Ogólne z</w:t>
      </w:r>
      <w:r w:rsidR="009D55F9">
        <w:rPr>
          <w:sz w:val="22"/>
          <w:szCs w:val="22"/>
          <w:lang w:eastAsia="ar-SA"/>
        </w:rPr>
        <w:t>asady odbioru robót podano w</w:t>
      </w:r>
      <w:r w:rsidR="001B4625">
        <w:rPr>
          <w:sz w:val="22"/>
          <w:szCs w:val="22"/>
          <w:lang w:eastAsia="ar-SA"/>
        </w:rPr>
        <w:t xml:space="preserve"> D</w:t>
      </w:r>
      <w:r w:rsidRPr="0041254F">
        <w:rPr>
          <w:sz w:val="22"/>
          <w:szCs w:val="22"/>
          <w:lang w:eastAsia="ar-SA"/>
        </w:rPr>
        <w:t>-00.0</w:t>
      </w:r>
      <w:r w:rsidR="009D55F9">
        <w:rPr>
          <w:sz w:val="22"/>
          <w:szCs w:val="22"/>
          <w:lang w:eastAsia="ar-SA"/>
        </w:rPr>
        <w:t xml:space="preserve">0.00 „Wymagania ogólne” </w:t>
      </w:r>
      <w:r w:rsidRPr="0041254F">
        <w:rPr>
          <w:sz w:val="22"/>
          <w:szCs w:val="22"/>
          <w:lang w:eastAsia="ar-SA"/>
        </w:rPr>
        <w:t xml:space="preserve">.  Roboty uznaje się za wykonane zgodnie z dokumentacją projektową, niniejszym SST i wymaganiami Inżyniera, jeżeli wszystkie pomiary i badania, z zachowaniem tolerancji wg pkt 6, dały wyniki pozytywne.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Odbiór robót zanikających i ulegających zakryciu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Odbiór robót zanikających i ulegających zakryciu, w zależności od przyjętego sposobu wykonania robót, może być dokonany po: </w:t>
      </w:r>
    </w:p>
    <w:p w:rsidR="00457CC1" w:rsidRPr="0041254F" w:rsidRDefault="00582EE8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oczyszczeniu powierzchni nawierzchni, </w:t>
      </w:r>
    </w:p>
    <w:p w:rsidR="00457CC1" w:rsidRPr="0041254F" w:rsidRDefault="00582EE8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proofErr w:type="spellStart"/>
      <w:r w:rsidR="00457CC1" w:rsidRPr="0041254F">
        <w:rPr>
          <w:sz w:val="22"/>
          <w:szCs w:val="22"/>
          <w:lang w:eastAsia="ar-SA"/>
        </w:rPr>
        <w:t>przedznakowaniu</w:t>
      </w:r>
      <w:proofErr w:type="spellEnd"/>
      <w:r w:rsidR="00457CC1" w:rsidRPr="0041254F">
        <w:rPr>
          <w:sz w:val="22"/>
          <w:szCs w:val="22"/>
          <w:lang w:eastAsia="ar-SA"/>
        </w:rPr>
        <w:t xml:space="preserve">, </w:t>
      </w:r>
    </w:p>
    <w:p w:rsidR="00457CC1" w:rsidRPr="0041254F" w:rsidRDefault="00582EE8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457CC1" w:rsidRPr="0041254F">
        <w:rPr>
          <w:sz w:val="22"/>
          <w:szCs w:val="22"/>
          <w:lang w:eastAsia="ar-SA"/>
        </w:rPr>
        <w:t xml:space="preserve">usunięciu istniejącego oznakowania poziomego.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Odbiór robót zanikających powinien być udokumentowany w dzienniku budowy.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W przypadku jeżeli kontrakt przewiduje osobną zapłatę za w</w:t>
      </w:r>
      <w:r w:rsidR="00582EE8">
        <w:rPr>
          <w:sz w:val="22"/>
          <w:szCs w:val="22"/>
          <w:lang w:eastAsia="ar-SA"/>
        </w:rPr>
        <w:t>/</w:t>
      </w:r>
      <w:r w:rsidRPr="0041254F">
        <w:rPr>
          <w:sz w:val="22"/>
          <w:szCs w:val="22"/>
          <w:lang w:eastAsia="ar-SA"/>
        </w:rPr>
        <w:t xml:space="preserve">w roboty niezbędne jest wykonanie szczegółowego obmiaru. Odbierającym roboty zanikające i ulegające zakryciu jest Inspektor nadzoru.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Odbiór robót częściowy i ostateczny </w:t>
      </w: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Odbiór częściowy robót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Odbiór częściowy, w każdym sezonie, można dokonać po całkowitym zakończeniu robót i pisemnym powiadomieniu Zamawiającego przez Wykonawcę o zakończeniu robót., po uprzednim potwierdzeniu zakończenia robót przez Inspektora nadzoru lub Inżyniera.. W odbiorze częściowym można odebrać roboty do wysokości 50 % wartości części w sezonie.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2"/>
          <w:numId w:val="1"/>
        </w:numPr>
        <w:suppressAutoHyphens/>
        <w:overflowPunct w:val="0"/>
        <w:autoSpaceDE w:val="0"/>
        <w:spacing w:after="240"/>
        <w:jc w:val="both"/>
        <w:outlineLvl w:val="2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Odbiór ostateczny robót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Odbioru ostatecznego, w każdym sezonie, należy dokonać po całkowitym zakończeniu robót.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Wykonawca po zakończeniu robót powiadamia pisemnie o zakończeniu robót, po uprzednim potwierdzeniu zakończenia robót przez Inspektora nadzoru lub Inżyniera.. A po uzyskaniu niezbędnych wyników pomiarów i badań kontrolnych powiadamia pisemnie Zamawiającego o gotowości do odbioru </w:t>
      </w:r>
      <w:r w:rsidRPr="0041254F">
        <w:rPr>
          <w:sz w:val="22"/>
          <w:szCs w:val="22"/>
          <w:lang w:eastAsia="ar-SA"/>
        </w:rPr>
        <w:lastRenderedPageBreak/>
        <w:t xml:space="preserve">wykonanych robót. Termin odbioru zostanie ustalony w ciągu 14 dni od daty otrzymania pisemnego zawiadomienia o gotowości do odbioru.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Odbioru dokonuje się na podstawie wizualnego objazdu wykonanych robót oraz wyników pomiarów i badań jakościowych określonych w punktach od 2 do 6.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Wykonawca robót przygotowuje i przedkłada do odbioru niżej wymienione dokumenty 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1/ dokumentację techniczną 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projekt organizacji ruchu / ew. plan liniowy oznakowania /,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przedmiar robót i kosztorys ofertowy,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dziennik budowy,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2/ sprawozdanie techniczne zawierające 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zakres i lokalizację wykonanych robót,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wykaz wprowadzonych zmian w stosunku do dokumentacji kontraktowej technicznej oraz formalną zgodę Zamawiającego na dokonane zmiany,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uzgodnienia z Zamawiającym dotyczące robót dodatkowych,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uzgodnienia z Zamawiającym dotyczące odstępstw od warunków szczegółowych  zawartych w umowie,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uwagi dotyczące warunków realizacji robót na odbieranym odcinku robót,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datę rozpoczęcia i zakończenia robót 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deklaracje zgodności dla użytego materiału,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wyniki pomiarów kontrolnych,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wyniki badań kontrolnych,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obmiar i kosztorys powykonawczy potwierdzony przez Inspektora nadzoru.,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Inspektor nadzoru w ramach czynności przygotowawczych do odbioru przedkłada 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1. ocenę ogólną , obejmującą jakość wykonanych robót / wynik objazdu dziennego i nocnego /,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2. ocena wyników pomiarów i badań kontrolnych : badania grubości, odblaskowości w dzień i w nocy, itd.,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3. potwierdzenie zgodności wykonanych robót z dostarczoną Wykonawcy dokumentacją techniczną  / projektem organizacji ruchu lub planem liniowym oznakowania poziomego, przedmiarem robót /,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4. rzeczywisty zakres rzeczowy robót / potwierdzenie obmiaru i kosztorysu powykonawczego /.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W przypadku stwierdzenia usterek w wykonanych robotach przerywa się odbiór i ustala termin usunięcia usterek i ponownego odbioru. O ile usterki nie zostaną usunięte przez Wykonawcę w ustalonym terminie, Zamawiający może powierzyć ich usunięcie na koszt Wykonawcy innej firmie.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 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Odbiór pogwarancyjny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Odbioru pogwarancyjnego należy dokonać po upływie okresu gwarancyjnego, ustalonego w kontrakcie.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Okres ten nie powinien być krótszy niż 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dla oznakowania cienkowarstwowego dla każdego sezonu 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12 miesięcy / 8 miesięcy w miejscowościach oraz na odnawianym oznakowaniu grubowarstwowym /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Zamawiający może skrócić termin odbioru pogwarancyjnego w przypadku planowanego wykonania odnowy nawierzchni lub oznakowania poziomego przed upływem okresu gwarancyjnego.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0"/>
          <w:numId w:val="1"/>
        </w:numPr>
        <w:suppressAutoHyphens/>
        <w:overflowPunct w:val="0"/>
        <w:autoSpaceDE w:val="0"/>
        <w:spacing w:after="240"/>
        <w:jc w:val="both"/>
        <w:outlineLvl w:val="0"/>
        <w:rPr>
          <w:b/>
          <w:sz w:val="22"/>
          <w:szCs w:val="22"/>
          <w:lang w:eastAsia="ar-SA"/>
        </w:rPr>
      </w:pPr>
      <w:r w:rsidRPr="0041254F">
        <w:rPr>
          <w:b/>
          <w:sz w:val="22"/>
          <w:szCs w:val="22"/>
          <w:lang w:eastAsia="ar-SA"/>
        </w:rPr>
        <w:lastRenderedPageBreak/>
        <w:t xml:space="preserve">Podstawa płatności </w:t>
      </w: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Ogólne ustalenia dotyczące podstawy płatności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>Ogólne ustalenia dotyczące</w:t>
      </w:r>
      <w:r w:rsidR="001B4625">
        <w:rPr>
          <w:sz w:val="22"/>
          <w:szCs w:val="22"/>
          <w:lang w:eastAsia="ar-SA"/>
        </w:rPr>
        <w:t xml:space="preserve"> podstawy płatności podano w D</w:t>
      </w:r>
      <w:r w:rsidRPr="0041254F">
        <w:rPr>
          <w:sz w:val="22"/>
          <w:szCs w:val="22"/>
          <w:lang w:eastAsia="ar-SA"/>
        </w:rPr>
        <w:t>-00.00.00 „Wymagania ogólne” pkt 9 [16].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72338" w:rsidRDefault="00457CC1" w:rsidP="00457CC1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b/>
          <w:sz w:val="22"/>
          <w:szCs w:val="22"/>
          <w:lang w:eastAsia="ar-SA"/>
        </w:rPr>
      </w:pPr>
      <w:r w:rsidRPr="00472338">
        <w:rPr>
          <w:b/>
          <w:sz w:val="22"/>
          <w:szCs w:val="22"/>
          <w:lang w:eastAsia="ar-SA"/>
        </w:rPr>
        <w:t xml:space="preserve">Cena jednostki obmiarowej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Cena 1 m</w:t>
      </w:r>
      <w:r w:rsidRPr="0041254F">
        <w:rPr>
          <w:sz w:val="22"/>
          <w:szCs w:val="22"/>
          <w:vertAlign w:val="superscript"/>
          <w:lang w:eastAsia="ar-SA"/>
        </w:rPr>
        <w:t>2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 wykonania robót obejmuje: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wykonanie i zatwierdzenie projektu organizacji robót,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prace pomiarowe, roboty przygotowawcze i oznakowanie robót,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przygotowanie i dostarczenie materiałów,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oczyszczenie podłoża (nawierzchni),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proofErr w:type="spellStart"/>
      <w:r w:rsidRPr="0041254F">
        <w:rPr>
          <w:sz w:val="22"/>
          <w:szCs w:val="22"/>
          <w:lang w:eastAsia="ar-SA"/>
        </w:rPr>
        <w:t>przedznakowanie</w:t>
      </w:r>
      <w:proofErr w:type="spellEnd"/>
      <w:r w:rsidRPr="0041254F">
        <w:rPr>
          <w:sz w:val="22"/>
          <w:szCs w:val="22"/>
          <w:lang w:eastAsia="ar-SA"/>
        </w:rPr>
        <w:t xml:space="preserve">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ochrona znaków przed zniszczeniem przez pojazdy w czasie prowadzenia robót,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left="720" w:hanging="360"/>
        <w:contextualSpacing/>
        <w:jc w:val="both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przeprowadzenie pomiarów i badań laboratoryjnych wymaganych w niniejszej specyfikacji technicznej. </w:t>
      </w:r>
    </w:p>
    <w:p w:rsidR="00457CC1" w:rsidRPr="0041254F" w:rsidRDefault="00457CC1" w:rsidP="00457CC1">
      <w:pPr>
        <w:suppressAutoHyphens/>
        <w:overflowPunct w:val="0"/>
        <w:autoSpaceDE w:val="0"/>
        <w:spacing w:line="276" w:lineRule="auto"/>
        <w:ind w:firstLine="284"/>
        <w:jc w:val="both"/>
        <w:rPr>
          <w:sz w:val="22"/>
          <w:szCs w:val="22"/>
          <w:lang w:eastAsia="ar-SA"/>
        </w:rPr>
      </w:pPr>
    </w:p>
    <w:p w:rsidR="00457CC1" w:rsidRPr="0041254F" w:rsidRDefault="00457CC1" w:rsidP="00457CC1">
      <w:pPr>
        <w:keepNext/>
        <w:numPr>
          <w:ilvl w:val="0"/>
          <w:numId w:val="1"/>
        </w:numPr>
        <w:suppressAutoHyphens/>
        <w:overflowPunct w:val="0"/>
        <w:autoSpaceDE w:val="0"/>
        <w:spacing w:after="240"/>
        <w:jc w:val="both"/>
        <w:outlineLvl w:val="0"/>
        <w:rPr>
          <w:b/>
          <w:sz w:val="22"/>
          <w:szCs w:val="22"/>
          <w:lang w:eastAsia="ar-SA"/>
        </w:rPr>
      </w:pPr>
      <w:r w:rsidRPr="0041254F">
        <w:rPr>
          <w:b/>
          <w:sz w:val="22"/>
          <w:szCs w:val="22"/>
          <w:lang w:eastAsia="ar-SA"/>
        </w:rPr>
        <w:t xml:space="preserve">Przepisy związane </w:t>
      </w:r>
    </w:p>
    <w:p w:rsidR="00457CC1" w:rsidRPr="009D55F9" w:rsidRDefault="00457CC1" w:rsidP="009D55F9">
      <w:pPr>
        <w:keepNext/>
        <w:numPr>
          <w:ilvl w:val="1"/>
          <w:numId w:val="1"/>
        </w:numPr>
        <w:suppressAutoHyphens/>
        <w:overflowPunct w:val="0"/>
        <w:autoSpaceDE w:val="0"/>
        <w:spacing w:after="240"/>
        <w:jc w:val="both"/>
        <w:outlineLvl w:val="1"/>
        <w:rPr>
          <w:sz w:val="22"/>
          <w:szCs w:val="22"/>
          <w:lang w:eastAsia="ar-SA"/>
        </w:rPr>
      </w:pPr>
      <w:r w:rsidRPr="0041254F">
        <w:rPr>
          <w:sz w:val="22"/>
          <w:szCs w:val="22"/>
          <w:lang w:eastAsia="ar-SA"/>
        </w:rPr>
        <w:t xml:space="preserve">Normy </w:t>
      </w:r>
      <w:r w:rsidRPr="009D55F9">
        <w:rPr>
          <w:sz w:val="22"/>
          <w:szCs w:val="22"/>
          <w:lang w:eastAsia="ar-SA"/>
        </w:rPr>
        <w:t xml:space="preserve"> </w:t>
      </w:r>
    </w:p>
    <w:p w:rsidR="009D55F9" w:rsidRDefault="009D55F9" w:rsidP="009D55F9">
      <w:r>
        <w:t xml:space="preserve">1. PN-89/C-81400 Wyroby lakierowe. Pakowanie, przechowywanie i transport, </w:t>
      </w:r>
    </w:p>
    <w:p w:rsidR="009D55F9" w:rsidRDefault="009D55F9" w:rsidP="009D55F9">
      <w:r>
        <w:t xml:space="preserve">2. PN-85/O-79252  Opakowania transportowe z zawartością. Znaki i znakowanie. Wymagania podstawowe </w:t>
      </w:r>
    </w:p>
    <w:p w:rsidR="009D55F9" w:rsidRDefault="009D55F9" w:rsidP="009D55F9">
      <w:r>
        <w:t xml:space="preserve">3. PN-EN 1423:2000 Materiały do poziomego oznakowania dróg. Materiały do posypywania. Kulki szklane, kruszywo przeciwpoślizgowe i ich mieszaniny) </w:t>
      </w:r>
    </w:p>
    <w:p w:rsidR="009D55F9" w:rsidRDefault="009D55F9" w:rsidP="009D55F9">
      <w:r>
        <w:t xml:space="preserve">3a. PN-EN 1423:2001/A1:2005 Materiały do poziomego oznakowania dróg Materiały do posypywania. Kulki szklane, kruszywo przeciwpoślizgowe i ich mieszaniny (Zmiana Al) </w:t>
      </w:r>
    </w:p>
    <w:p w:rsidR="009D55F9" w:rsidRDefault="009D55F9" w:rsidP="009D55F9">
      <w:r>
        <w:t xml:space="preserve">4. PN-EN 1436:2000 Materiały do poziomego oznakowania dróg. Wymagana dotyczące poziomego oznakowania dróg </w:t>
      </w:r>
    </w:p>
    <w:p w:rsidR="009D55F9" w:rsidRDefault="009D55F9" w:rsidP="009D55F9">
      <w:r>
        <w:t xml:space="preserve">4a PN-EN 1436:2000/a1:2005 Materiały do poziomego oznakowania dróg. Wymagania dotyczące poziomego oznakowania dróg (Zmiana Al </w:t>
      </w:r>
    </w:p>
    <w:p w:rsidR="009D55F9" w:rsidRDefault="009D55F9" w:rsidP="009D55F9">
      <w:r>
        <w:t xml:space="preserve">5. PN-EN 1463-1:2000 Materiały do poziomego oznakowania dróg. Punktowe elementy odblaskowe Część I : Wymagania dotyczące charakterystyki nowego elementu </w:t>
      </w:r>
    </w:p>
    <w:p w:rsidR="009D55F9" w:rsidRDefault="009D55F9" w:rsidP="009D55F9">
      <w:r>
        <w:t xml:space="preserve">5a. PN-EN 1463-1:2000/A1:2005 Materiały do poziomego oznakowania dróg. Punktowe elementy odblaskowe Część l: Wymagania dotyczące charakterystyki nowego elementu (Zmiana Al) </w:t>
      </w:r>
    </w:p>
    <w:p w:rsidR="009D55F9" w:rsidRDefault="009D55F9" w:rsidP="009D55F9">
      <w:r>
        <w:t xml:space="preserve">5b. PN-EN 1463-2:2000 Materiały do poziomego oznakowania dróg. Punktowe elementy odblaskowe Część 2: Badania terenowe </w:t>
      </w:r>
    </w:p>
    <w:p w:rsidR="009D55F9" w:rsidRDefault="009D55F9" w:rsidP="009D55F9">
      <w:r>
        <w:t xml:space="preserve">6. PN-EN 1871:2003 Materiały do poziomego oznakowania dróg. W1aściwości fizyczne </w:t>
      </w:r>
    </w:p>
    <w:p w:rsidR="009D55F9" w:rsidRDefault="009D55F9" w:rsidP="009D55F9">
      <w:r>
        <w:t xml:space="preserve">6a PN-EN 13036-4:2004 (U)  Drogi samochodowe i lotniskowe - Metody badań - Część 4: Metoda pomiaru oporów poślizgu/poślizgnięcia na powierzchni: próba wahadła. </w:t>
      </w:r>
    </w:p>
    <w:p w:rsidR="009D55F9" w:rsidRDefault="009D55F9" w:rsidP="009D55F9">
      <w:r>
        <w:t xml:space="preserve">7.  Załącznik nr 2 do rozporządzenia Ministra Infrastruktury z dnia 3 lipca 2003 r. Szczegółowe warunki techniczne dla znaków drogowych poziomych i warunki ich umieszczania na drogach (Dz. U. nr 220, poz. 2181). </w:t>
      </w:r>
    </w:p>
    <w:p w:rsidR="009D55F9" w:rsidRDefault="009D55F9" w:rsidP="009D55F9">
      <w:r>
        <w:t xml:space="preserve">8. Rozporządzenie Ministra Infrastruktury z dnia 11 sierpnia 2004 r. w sprawie sposobów deklarowania zgodności wyrobów budowlanych oraz sposobu znakowania ich znakiem budowlanym (Dz. U. nr 198, poz. 2041) </w:t>
      </w:r>
    </w:p>
    <w:p w:rsidR="009D55F9" w:rsidRDefault="009D55F9" w:rsidP="009D55F9">
      <w:r>
        <w:lastRenderedPageBreak/>
        <w:t xml:space="preserve">9.  Warunki Techniczne. Poziome znakowanie dróg. POD-97. Seria „I” - Informacje, Instrukcje. Zeszyt nr 55.-IBDiM, Warszawa, 1997 </w:t>
      </w:r>
    </w:p>
    <w:p w:rsidR="009D55F9" w:rsidRDefault="009D55F9" w:rsidP="009D55F9">
      <w:r>
        <w:t xml:space="preserve">10. Warunki Techniczne. Poziome znakowanie dróg. POD-2006. Seria ,,I”' - Informacje, Instrukcje. </w:t>
      </w:r>
      <w:proofErr w:type="spellStart"/>
      <w:r>
        <w:t>IBDiM</w:t>
      </w:r>
      <w:proofErr w:type="spellEnd"/>
      <w:r>
        <w:t xml:space="preserve">, Warszawa, w opracowaniu  </w:t>
      </w:r>
    </w:p>
    <w:p w:rsidR="009D55F9" w:rsidRDefault="009D55F9" w:rsidP="009D55F9">
      <w:r>
        <w:t xml:space="preserve">11.  Prawo przewozowe (Dz. U. nr 53 z 1984 r., poz. 272 z późniejszymi zmianami) </w:t>
      </w:r>
    </w:p>
    <w:p w:rsidR="009D55F9" w:rsidRDefault="009D55F9" w:rsidP="009D55F9">
      <w:r>
        <w:t xml:space="preserve">12.  Rozporządzenie Ministra Infrastruktury z dnia 11 sierpnia 2004 r. w sprawie systemów oceny zgodności, wymagań jakie powinny spełniać notyfikowane jednostki uczestniczące w ocenie zgodności oraz sposobu oznaczania wyrobów budowlanych oznakowaniem CE (Dz. U. nr 195, poz. 2011) </w:t>
      </w:r>
    </w:p>
    <w:p w:rsidR="009D55F9" w:rsidRDefault="009D55F9" w:rsidP="009D55F9">
      <w:r>
        <w:t>13. Rozporządzenie Ministra Zdrowia z dnia 2 września 2003 r. w sprawie oznakowania opakowań substancji niebezpiecznych i preparatów niebezpiecznych (Dz. U. nr 73, poz. 1679) 14. Umowa europejska dotycząca międzynarodowego przewozu towarów niebezpiecznych (</w:t>
      </w:r>
      <w:proofErr w:type="spellStart"/>
      <w:r>
        <w:t>RlD</w:t>
      </w:r>
      <w:proofErr w:type="spellEnd"/>
      <w:r>
        <w:t xml:space="preserve">/ADR) </w:t>
      </w:r>
    </w:p>
    <w:p w:rsidR="009D55F9" w:rsidRDefault="009D55F9" w:rsidP="009D55F9">
      <w:r>
        <w:t xml:space="preserve">15.` Rozporządzenie Ministra Infrastruktury z dnia 8 listopada 2004 r. w sprawie aprobat technicznych oraz jednostek organizacyjnych uprawnionych do ich wydania (Dz.U. nr 249, poz. 2497) </w:t>
      </w:r>
    </w:p>
    <w:p w:rsidR="006017A9" w:rsidRDefault="006017A9"/>
    <w:sectPr w:rsidR="006017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Sans Serif">
    <w:charset w:val="EE"/>
    <w:family w:val="swiss"/>
    <w:pitch w:val="default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41BB"/>
    <w:multiLevelType w:val="hybridMultilevel"/>
    <w:tmpl w:val="00006B89"/>
    <w:lvl w:ilvl="0" w:tplc="000003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301C">
      <w:start w:val="3"/>
      <w:numFmt w:val="decimal"/>
      <w:lvlText w:val="6.3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0C5DE9"/>
    <w:multiLevelType w:val="multilevel"/>
    <w:tmpl w:val="525C131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sz w:val="22"/>
        <w:szCs w:val="28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BBE398E"/>
    <w:multiLevelType w:val="multilevel"/>
    <w:tmpl w:val="6FF48372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1F699F"/>
    <w:multiLevelType w:val="hybridMultilevel"/>
    <w:tmpl w:val="B880971A"/>
    <w:lvl w:ilvl="0" w:tplc="376E012C">
      <w:start w:val="1"/>
      <w:numFmt w:val="decimal"/>
      <w:lvlText w:val="%1"/>
      <w:legacy w:legacy="1" w:legacySpace="120" w:legacyIndent="360"/>
      <w:lvlJc w:val="left"/>
      <w:pPr>
        <w:ind w:left="0" w:firstLine="0"/>
      </w:pPr>
    </w:lvl>
    <w:lvl w:ilvl="1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D5792E"/>
    <w:multiLevelType w:val="hybridMultilevel"/>
    <w:tmpl w:val="6622A256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8A4474"/>
    <w:multiLevelType w:val="hybridMultilevel"/>
    <w:tmpl w:val="90603B60"/>
    <w:lvl w:ilvl="0" w:tplc="9B522570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AD2DC6"/>
    <w:multiLevelType w:val="hybridMultilevel"/>
    <w:tmpl w:val="674C6D5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166F57"/>
    <w:multiLevelType w:val="hybridMultilevel"/>
    <w:tmpl w:val="47AC0926"/>
    <w:lvl w:ilvl="0" w:tplc="54A8437E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861169"/>
    <w:multiLevelType w:val="hybridMultilevel"/>
    <w:tmpl w:val="11D43898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6639853">
    <w:abstractNumId w:val="1"/>
  </w:num>
  <w:num w:numId="2" w16cid:durableId="1066680998">
    <w:abstractNumId w:val="0"/>
  </w:num>
  <w:num w:numId="3" w16cid:durableId="459691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2877379">
    <w:abstractNumId w:val="2"/>
  </w:num>
  <w:num w:numId="5" w16cid:durableId="71265560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38514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214684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307036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916083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14453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CC1"/>
    <w:rsid w:val="00054F71"/>
    <w:rsid w:val="00081A23"/>
    <w:rsid w:val="001A064A"/>
    <w:rsid w:val="001B4625"/>
    <w:rsid w:val="001D258B"/>
    <w:rsid w:val="00457CC1"/>
    <w:rsid w:val="00485EAD"/>
    <w:rsid w:val="00576AE9"/>
    <w:rsid w:val="00582EE8"/>
    <w:rsid w:val="005B1590"/>
    <w:rsid w:val="006017A9"/>
    <w:rsid w:val="006372A3"/>
    <w:rsid w:val="0067144B"/>
    <w:rsid w:val="00743154"/>
    <w:rsid w:val="008D47D0"/>
    <w:rsid w:val="009D55F9"/>
    <w:rsid w:val="00A52636"/>
    <w:rsid w:val="00C87EB4"/>
    <w:rsid w:val="00D10E41"/>
    <w:rsid w:val="00E8173C"/>
    <w:rsid w:val="00F0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F3A5D3-1BA0-4096-B3A9-3F62FC3E5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7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7CC1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457C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8B554-7F57-43F4-9AAF-62D891481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21</Pages>
  <Words>7425</Words>
  <Characters>44553</Characters>
  <Application>Microsoft Office Word</Application>
  <DocSecurity>0</DocSecurity>
  <Lines>371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Trzciński</dc:creator>
  <cp:keywords/>
  <dc:description/>
  <cp:lastModifiedBy>Anna Brzezińska-Michałejko</cp:lastModifiedBy>
  <cp:revision>14</cp:revision>
  <dcterms:created xsi:type="dcterms:W3CDTF">2020-11-09T07:15:00Z</dcterms:created>
  <dcterms:modified xsi:type="dcterms:W3CDTF">2024-10-02T09:25:00Z</dcterms:modified>
</cp:coreProperties>
</file>